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0450687" w14:textId="24967686" w:rsidR="009A6FE0" w:rsidRPr="00F0727A" w:rsidRDefault="003A51B4" w:rsidP="00184BCD">
      <w:pPr>
        <w:spacing w:before="1080" w:after="120"/>
        <w:rPr>
          <w:rFonts w:cs="Times New Roman"/>
          <w:b/>
        </w:rPr>
      </w:pPr>
      <w:r w:rsidRPr="003A51B4">
        <w:rPr>
          <w:rFonts w:cs="Times New Roman"/>
          <w:b/>
          <w:noProof/>
        </w:rPr>
        <w:drawing>
          <wp:anchor distT="0" distB="0" distL="114300" distR="114300" simplePos="0" relativeHeight="251658240" behindDoc="0" locked="0" layoutInCell="1" allowOverlap="1" wp14:anchorId="01B43D3A" wp14:editId="3B4DC1CE">
            <wp:simplePos x="0" y="0"/>
            <wp:positionH relativeFrom="column">
              <wp:posOffset>5447561</wp:posOffset>
            </wp:positionH>
            <wp:positionV relativeFrom="paragraph">
              <wp:posOffset>-314731</wp:posOffset>
            </wp:positionV>
            <wp:extent cx="825500" cy="927100"/>
            <wp:effectExtent l="0" t="0" r="0" b="0"/>
            <wp:wrapNone/>
            <wp:docPr id="914439984"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4439984"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825500" cy="927100"/>
                    </a:xfrm>
                    <a:prstGeom prst="rect">
                      <a:avLst/>
                    </a:prstGeom>
                  </pic:spPr>
                </pic:pic>
              </a:graphicData>
            </a:graphic>
            <wp14:sizeRelH relativeFrom="page">
              <wp14:pctWidth>0</wp14:pctWidth>
            </wp14:sizeRelH>
            <wp14:sizeRelV relativeFrom="page">
              <wp14:pctHeight>0</wp14:pctHeight>
            </wp14:sizeRelV>
          </wp:anchor>
        </w:drawing>
      </w:r>
      <w:r w:rsidR="009A6FE0" w:rsidRPr="00F0727A">
        <w:rPr>
          <w:rFonts w:cs="Times New Roman"/>
          <w:b/>
        </w:rPr>
        <w:t>OPS: Betrieb</w:t>
      </w:r>
    </w:p>
    <w:p w14:paraId="23186E6B" w14:textId="77777777" w:rsidR="00D13C7C" w:rsidRDefault="00272D4D" w:rsidP="00184BCD">
      <w:pPr>
        <w:pStyle w:val="Titel"/>
        <w:spacing w:before="360" w:after="720"/>
        <w:rPr>
          <w:rFonts w:cs="Times New Roman"/>
        </w:rPr>
      </w:pPr>
      <w:r w:rsidRPr="00F0727A">
        <w:rPr>
          <w:rFonts w:cs="Times New Roman"/>
        </w:rPr>
        <w:t>OPS.bd.1 Einsatz von Künstlicher Intelligenz</w:t>
      </w:r>
    </w:p>
    <w:p w14:paraId="7B50BEA2" w14:textId="77777777" w:rsidR="00573E2E" w:rsidRDefault="00000000">
      <w:pPr>
        <w:pBdr>
          <w:top w:val="single" w:sz="8" w:space="6" w:color="00A5C8"/>
          <w:left w:val="single" w:sz="8" w:space="6" w:color="00A5C8"/>
          <w:bottom w:val="single" w:sz="8" w:space="6" w:color="00A5C8"/>
          <w:right w:val="single" w:sz="8" w:space="6" w:color="00A5C8"/>
        </w:pBdr>
        <w:shd w:val="clear" w:color="auto" w:fill="E8F6F9"/>
        <w:spacing w:after="60"/>
        <w:ind w:left="170" w:right="170"/>
      </w:pPr>
      <w:r>
        <w:rPr>
          <w:b/>
          <w:sz w:val="28"/>
          <w:szCs w:val="28"/>
        </w:rPr>
        <w:t>Community Draft · Version 0.3 · Feedback erwünscht</w:t>
      </w:r>
    </w:p>
    <w:p w14:paraId="63AE3CCB" w14:textId="77777777" w:rsidR="00573E2E" w:rsidRDefault="00000000">
      <w:pPr>
        <w:pBdr>
          <w:top w:val="single" w:sz="8" w:space="6" w:color="00A5C8"/>
          <w:left w:val="single" w:sz="8" w:space="6" w:color="00A5C8"/>
          <w:bottom w:val="single" w:sz="8" w:space="6" w:color="00A5C8"/>
          <w:right w:val="single" w:sz="8" w:space="6" w:color="00A5C8"/>
        </w:pBdr>
        <w:shd w:val="clear" w:color="auto" w:fill="E8F6F9"/>
        <w:spacing w:after="60"/>
        <w:ind w:left="170" w:right="170"/>
      </w:pPr>
      <w:r>
        <w:t>Diese Fassung ist ein Community Draft: Sie ist fachlich ausgearbeitet und wird mit den Rückmeldungen aus der Praxis weiterentwickelt. Hinweise, Korrekturen und Ideen bitte an info@ask-informationssicherheit.de.</w:t>
      </w:r>
    </w:p>
    <w:p w14:paraId="1FF6F236" w14:textId="77777777" w:rsidR="00573E2E" w:rsidRDefault="00000000">
      <w:pPr>
        <w:pBdr>
          <w:top w:val="single" w:sz="8" w:space="6" w:color="00A5C8"/>
          <w:left w:val="single" w:sz="8" w:space="6" w:color="00A5C8"/>
          <w:bottom w:val="single" w:sz="8" w:space="6" w:color="00A5C8"/>
          <w:right w:val="single" w:sz="8" w:space="6" w:color="00A5C8"/>
        </w:pBdr>
        <w:shd w:val="clear" w:color="auto" w:fill="E8F6F9"/>
        <w:spacing w:after="60"/>
        <w:ind w:left="170" w:right="170"/>
      </w:pPr>
      <w:r>
        <w:rPr>
          <w:b/>
        </w:rPr>
        <w:t>Hinweis zu diesem Baustein</w:t>
      </w:r>
    </w:p>
    <w:p w14:paraId="5FB6C666" w14:textId="77777777" w:rsidR="00573E2E" w:rsidRDefault="00000000">
      <w:pPr>
        <w:pBdr>
          <w:top w:val="single" w:sz="8" w:space="6" w:color="00A5C8"/>
          <w:left w:val="single" w:sz="8" w:space="6" w:color="00A5C8"/>
          <w:bottom w:val="single" w:sz="8" w:space="6" w:color="00A5C8"/>
          <w:right w:val="single" w:sz="8" w:space="6" w:color="00A5C8"/>
        </w:pBdr>
        <w:shd w:val="clear" w:color="auto" w:fill="E8F6F9"/>
        <w:spacing w:after="60"/>
        <w:ind w:left="170" w:right="170"/>
      </w:pPr>
      <w:r>
        <w:t>Dieser benutzerdefinierte Baustein ist eine Hilfestellung der a.s.k. Informationssicherheit Sascha Kuhrau für Informationssicherheitsbeauftragte und Datenschutzbeauftragte, die sich mit dem Einsatz von KI in ihrer Institution herumschlagen. Er ist kein Baustein des IT-Grundschutz-Kompendiums, wurde nicht vom BSI erstellt und vom BSI nicht inhaltlich geprüft.</w:t>
      </w:r>
    </w:p>
    <w:p w14:paraId="2E5F1FD3" w14:textId="77777777" w:rsidR="00573E2E" w:rsidRDefault="00000000">
      <w:pPr>
        <w:pBdr>
          <w:top w:val="single" w:sz="8" w:space="6" w:color="00A5C8"/>
          <w:left w:val="single" w:sz="8" w:space="6" w:color="00A5C8"/>
          <w:bottom w:val="single" w:sz="8" w:space="6" w:color="00A5C8"/>
          <w:right w:val="single" w:sz="8" w:space="6" w:color="00A5C8"/>
        </w:pBdr>
        <w:shd w:val="clear" w:color="auto" w:fill="E8F6F9"/>
        <w:spacing w:after="60"/>
        <w:ind w:left="170" w:right="170"/>
      </w:pPr>
      <w:r>
        <w:t>Aufbau und Sprache folgen der Vorlage und der Autorenrichtlinie des BSI für benutzerdefinierte Bausteine. Abweichend davon enthalten die Anforderungen gekennzeichnete, nicht normative Erläuterungen zur Umsetzung. Separate Umsetzungshinweise gibt es nicht. Der Baustein ist deshalb länger als die empfohlenen zehn Seiten. Die Zuordnung der Anforderungen zu den elementaren Gefährdungen enthält die separate Kreuzreferenztabelle.</w:t>
      </w:r>
    </w:p>
    <w:p w14:paraId="1254A098" w14:textId="77777777" w:rsidR="00573E2E" w:rsidRDefault="00000000">
      <w:pPr>
        <w:pBdr>
          <w:top w:val="single" w:sz="8" w:space="6" w:color="00A5C8"/>
          <w:left w:val="single" w:sz="8" w:space="6" w:color="00A5C8"/>
          <w:bottom w:val="single" w:sz="8" w:space="6" w:color="00A5C8"/>
          <w:right w:val="single" w:sz="8" w:space="6" w:color="00A5C8"/>
        </w:pBdr>
        <w:shd w:val="clear" w:color="auto" w:fill="E8F6F9"/>
        <w:spacing w:after="240"/>
        <w:ind w:left="170" w:right="170"/>
      </w:pPr>
      <w:r>
        <w:t>Der Baustein ersetzt keine Rechtsberatung. Rechtsstand: 23.10.2026. Nutzungsbedingungen und Kontakt für Feedback stehen am Ende des Dokuments.</w:t>
      </w:r>
    </w:p>
    <w:p w14:paraId="53A1B0DF" w14:textId="77777777" w:rsidR="00573E2E" w:rsidRDefault="00000000">
      <w:pPr>
        <w:pStyle w:val="berschrift1"/>
      </w:pPr>
      <w:r>
        <w:t>Beschreibung</w:t>
      </w:r>
    </w:p>
    <w:p w14:paraId="7D0B4A0D" w14:textId="77777777" w:rsidR="00573E2E" w:rsidRDefault="00000000">
      <w:pPr>
        <w:pStyle w:val="berschrift2"/>
      </w:pPr>
      <w:r>
        <w:t>Einleitung</w:t>
      </w:r>
    </w:p>
    <w:p w14:paraId="3524DC45" w14:textId="77777777" w:rsidR="00573E2E" w:rsidRDefault="00000000">
      <w:r>
        <w:t>Künstliche Intelligenz (KI) ist in vielen Institutionen bereits Alltag. Sie steckt nicht nur in eigenständigen Diensten wie Chatbots, Übersetzungs- oder Textgeneratoren, sondern zunehmend auch in bestehender Software: in Office-Produkten, Fachanwendungen, Betriebssystemen, Browsern, Smartphones oder Videokonferenzlösungen. Häufig werden KI-Funktionen mit einem Update eingeführt, ohne dass die Institution dies bewusst entschieden hat.</w:t>
      </w:r>
    </w:p>
    <w:p w14:paraId="62230D2B" w14:textId="77777777" w:rsidR="00573E2E" w:rsidRDefault="00000000">
      <w:r>
        <w:t>Als KI-Anwendung wird in diesem Baustein jede Anwendung bezeichnet, die KI-Funktionen bereitstellt, unabhängig davon, ob sie eigenständig genutzt wird oder in andere Software eingebettet ist. Generative KI erzeugt auf Grundlage von Eingaben neue Inhalte wie Texte, Bilder, Audio oder Programmcode. KI-Agenten führen darüber hinaus selbstständig Aktionen in anderen Systemen aus, etwa den Versand von E-Mails oder Änderungen an Dateien.</w:t>
      </w:r>
    </w:p>
    <w:p w14:paraId="75BD1D1C" w14:textId="77777777" w:rsidR="00573E2E" w:rsidRDefault="00000000">
      <w:r>
        <w:t>Insbesondere generative KI kann bei vergleichbaren Eingaben unterschiedliche und fehlerhafte Ergebnisse liefern, die zudem oft nur schwer nachvollziehbar sind. Viele Dienste werden von Dritten außerhalb der eigenen Infrastruktur betrieben. Daraus ergeben sich neue Risiken für Vertraulichkeit, Integrität und Verfügbarkeit von Informationen, die bestehende Regelungen zur IT-Nutzung, zu Cloud-Diensten oder zur Auftragsverarbeitung nur teilweise abdecken. Zusätzlich ist der Einsatz von KI rechtlich geregelt, insbesondere durch die Verordnung (EU) 2024/1689 (KI-Verordnung), die Datenschutz-Grundverordnung (DSGVO) sowie Vorgaben des Verwaltungsverfahrens-, Arbeits- und Personalvertretungsrechts.</w:t>
      </w:r>
    </w:p>
    <w:p w14:paraId="7312A9FD" w14:textId="77777777" w:rsidR="00573E2E" w:rsidRDefault="00000000">
      <w:pPr>
        <w:pStyle w:val="berschrift2"/>
      </w:pPr>
      <w:r>
        <w:lastRenderedPageBreak/>
        <w:t>Zielsetzung</w:t>
      </w:r>
    </w:p>
    <w:p w14:paraId="2E1041A0" w14:textId="77777777" w:rsidR="00573E2E" w:rsidRDefault="00000000">
      <w:r>
        <w:t>Ziel dieses Bausteins ist es, Informationen beim Einsatz von KI-Anwendungen zu schützen, indem KI-Anwendungen nur bewusst, nach Bewertung und Freigabe sowie innerhalb klarer Regeln eingesetzt werden. Mitarbeitende sollen die Risiken kennen und mit den Ergebnissen kritisch umgehen. Der Baustein unterstützt Institutionen aller Art dabei, den KI-Einsatz in ein Managementsystem für Informationssicherheit nach ISO/IEC 27001 und IT-Grundschutz einzubinden.</w:t>
      </w:r>
    </w:p>
    <w:p w14:paraId="40B27490" w14:textId="77777777" w:rsidR="00573E2E" w:rsidRDefault="00000000">
      <w:pPr>
        <w:pStyle w:val="berschrift2"/>
      </w:pPr>
      <w:r>
        <w:t>Abgrenzung und Modellierung</w:t>
      </w:r>
    </w:p>
    <w:p w14:paraId="192E7F33" w14:textId="77777777" w:rsidR="00573E2E" w:rsidRDefault="00000000">
      <w:r>
        <w:t>Der Baustein OPS.bd.1 Einsatz von Künstlicher Intelligenz ist einmal auf den gesamten Informationsverbund anzuwenden.</w:t>
      </w:r>
    </w:p>
    <w:p w14:paraId="27D27490" w14:textId="77777777" w:rsidR="00573E2E" w:rsidRDefault="00000000">
      <w:r>
        <w:t>Er ist nicht für jede einzelne KI-Anwendung erneut zu modellieren. Die Anforderungen, die je KI-Anwendung zu erfüllen sind, werden über das KI-Register gesteuert und dort je Anwendung dokumentiert (siehe OPS.bd.1.A2 Bestandsaufnahme und Führung eines KI-Registers). Der Baustein unterscheidet zwei Einsatzformen, die im Titel einzelner Anforderungen gekennzeichnet sind:</w:t>
      </w:r>
    </w:p>
    <w:p w14:paraId="4FCE7228" w14:textId="77777777" w:rsidR="00573E2E" w:rsidRDefault="00000000">
      <w:pPr>
        <w:pStyle w:val="Listenabsatz"/>
      </w:pPr>
      <w:r>
        <w:rPr>
          <w:b/>
          <w:color w:val="000000"/>
        </w:rPr>
        <w:t>Nutzung</w:t>
      </w:r>
      <w:r>
        <w:rPr>
          <w:color w:val="000000"/>
        </w:rPr>
        <w:t>: KI-Anwendungen, die von Dritten bereitgestellt werden. Dazu zählen KI-Dienste aus der Cloud, Apps sowie KI-Funktionen, die in bezogene Software eingebettet sind.</w:t>
      </w:r>
    </w:p>
    <w:p w14:paraId="3DFE4B10" w14:textId="77777777" w:rsidR="00573E2E" w:rsidRDefault="00000000">
      <w:pPr>
        <w:pStyle w:val="Listenabsatz"/>
      </w:pPr>
      <w:r>
        <w:rPr>
          <w:b/>
          <w:color w:val="000000"/>
        </w:rPr>
        <w:t>Eigenbetrieb</w:t>
      </w:r>
      <w:r>
        <w:rPr>
          <w:color w:val="000000"/>
        </w:rPr>
        <w:t>: KI-Systeme, die die Institution selbst betreibt oder für sich hosten lässt und deren Konfiguration sie bestimmt. Dazu zählen lokal betriebene Sprachmodelle, eigene Lösungen mit Zugriff auf interne Wissensquellen (Retrieval-Augmented Generation, RAG) und selbst angepasste oder trainierte Modelle.</w:t>
      </w:r>
    </w:p>
    <w:p w14:paraId="5F92792E" w14:textId="77777777" w:rsidR="00573E2E" w:rsidRDefault="00000000">
      <w:r>
        <w:t>Anforderungen ohne Kennzeichnung gelten für beide Einsatzformen. Setzt eine Institution nur eine der beiden Formen ein, entfallen die Anforderungen der jeweils anderen. Bei Mischformen, etwa einer selbst betriebenen Anwendung, die ein Modell eines Dritten über eine Schnittstelle nutzt, sind die Anforderungen beider Einsatzformen anzuwenden, soweit sie für die jeweiligen Komponenten und Leistungsbeziehungen einschlägig sind.</w:t>
      </w:r>
    </w:p>
    <w:p w14:paraId="113FC7C9" w14:textId="77777777" w:rsidR="00573E2E" w:rsidRDefault="00000000">
      <w:r>
        <w:t>Um ein IT-Grundschutz-Modell für einen konkreten Informationsverbund zu erstellen, muss grundsätzlich die Gesamtheit aller Bausteine betrachtet werden. In der Regel sind mehrere Bausteine auf das Thema bzw. Zielobjekt anzuwenden.</w:t>
      </w:r>
    </w:p>
    <w:p w14:paraId="56E016FA" w14:textId="77777777" w:rsidR="00573E2E" w:rsidRDefault="00000000">
      <w:r>
        <w:t>Dieser Baustein behandelt</w:t>
      </w:r>
    </w:p>
    <w:p w14:paraId="6DDE4E0F" w14:textId="77777777" w:rsidR="00573E2E" w:rsidRDefault="00000000">
      <w:pPr>
        <w:pStyle w:val="Listenabsatz"/>
      </w:pPr>
      <w:r>
        <w:rPr>
          <w:color w:val="000000"/>
        </w:rPr>
        <w:t>die Steuerung des KI-Einsatzes von den Verantwortlichkeiten über die Bestandsaufnahme bis zur Freigabe,</w:t>
      </w:r>
    </w:p>
    <w:p w14:paraId="04657C1B" w14:textId="77777777" w:rsidR="00573E2E" w:rsidRDefault="00000000">
      <w:pPr>
        <w:pStyle w:val="Listenabsatz"/>
      </w:pPr>
      <w:r>
        <w:rPr>
          <w:color w:val="000000"/>
        </w:rPr>
        <w:t>die Regelungen für die Nutzung von KI-Anwendungen Dritter einschließlich eingebetteter KI-Funktionen,</w:t>
      </w:r>
    </w:p>
    <w:p w14:paraId="4456C571" w14:textId="77777777" w:rsidR="00573E2E" w:rsidRDefault="00000000">
      <w:pPr>
        <w:pStyle w:val="Listenabsatz"/>
      </w:pPr>
      <w:r>
        <w:rPr>
          <w:color w:val="000000"/>
        </w:rPr>
        <w:t>die KI-spezifischen Anforderungen an den Eigenbetrieb sowie</w:t>
      </w:r>
    </w:p>
    <w:p w14:paraId="4FE14B47" w14:textId="77777777" w:rsidR="00573E2E" w:rsidRDefault="00000000">
      <w:pPr>
        <w:pStyle w:val="Listenabsatz"/>
      </w:pPr>
      <w:r>
        <w:rPr>
          <w:color w:val="000000"/>
        </w:rPr>
        <w:t>die Sensibilisierung, Vorfallbehandlung und Überprüfung im Zusammenhang mit KI.</w:t>
      </w:r>
    </w:p>
    <w:p w14:paraId="1111CAB9" w14:textId="77777777" w:rsidR="00573E2E" w:rsidRDefault="00000000">
      <w:r>
        <w:t>Folgende Inhalte sind ebenfalls von Bedeutung und werden an anderer Stelle behandelt:</w:t>
      </w:r>
    </w:p>
    <w:p w14:paraId="729ACC35" w14:textId="77777777" w:rsidR="00573E2E" w:rsidRDefault="00000000">
      <w:pPr>
        <w:pStyle w:val="Listenabsatz"/>
      </w:pPr>
      <w:r>
        <w:rPr>
          <w:color w:val="000000"/>
        </w:rPr>
        <w:t>allgemeine Aspekte der Nutzung von Cloud-Diensten, sofern eine KI-Anwendung als Cloud-Dienst bezogen wird; die Modellierung richtet sich nach dessen eigenen Vorgaben (siehe OPS.2.2 Cloud-Nutzung)</w:t>
      </w:r>
    </w:p>
    <w:p w14:paraId="37990584" w14:textId="77777777" w:rsidR="00573E2E" w:rsidRDefault="00000000">
      <w:pPr>
        <w:pStyle w:val="Listenabsatz"/>
      </w:pPr>
      <w:r>
        <w:rPr>
          <w:color w:val="000000"/>
        </w:rPr>
        <w:t>Absicherung der technischen Plattformen im Eigenbetrieb, abhängig von der eingesetzten Architektur (siehe SYS.1.1 Allgemeiner Server, SYS.1.6 Containerisierung, APP.4.4 Kubernetes und APP.3.1 Webanwendungen und Webservices)</w:t>
      </w:r>
    </w:p>
    <w:p w14:paraId="047560F7" w14:textId="77777777" w:rsidR="00573E2E" w:rsidRDefault="00000000">
      <w:pPr>
        <w:pStyle w:val="Listenabsatz"/>
      </w:pPr>
      <w:r>
        <w:rPr>
          <w:color w:val="000000"/>
        </w:rPr>
        <w:t>Entwicklung von KI-Software und Modellen, auch für eigene Zwecke (siehe CON.8 Software-Entwicklung und APP.7 Entwicklung von Individualsoftware)</w:t>
      </w:r>
    </w:p>
    <w:p w14:paraId="26158633" w14:textId="77777777" w:rsidR="00573E2E" w:rsidRDefault="00000000">
      <w:pPr>
        <w:pStyle w:val="Listenabsatz"/>
      </w:pPr>
      <w:r>
        <w:rPr>
          <w:color w:val="000000"/>
        </w:rPr>
        <w:t>allgemeine Sensibilisierung und Schulung (siehe ORP.3 Sensibilisierung und Schulung zur Informationssicherheit)</w:t>
      </w:r>
    </w:p>
    <w:p w14:paraId="22CA1B49" w14:textId="77777777" w:rsidR="00573E2E" w:rsidRDefault="00000000">
      <w:pPr>
        <w:pStyle w:val="Listenabsatz"/>
      </w:pPr>
      <w:r>
        <w:rPr>
          <w:color w:val="000000"/>
        </w:rPr>
        <w:t>Vergabe und Verwaltung von Zugriffsrechten (siehe ORP.4 Identitäts- und Berechtigungsmanagement)</w:t>
      </w:r>
    </w:p>
    <w:p w14:paraId="3E85814F" w14:textId="77777777" w:rsidR="00573E2E" w:rsidRDefault="00000000">
      <w:pPr>
        <w:pStyle w:val="Listenabsatz"/>
      </w:pPr>
      <w:r>
        <w:rPr>
          <w:color w:val="000000"/>
        </w:rPr>
        <w:t>Identifikation rechtlicher Anforderungen (siehe ORP.5 Compliance Management (Anforderungsmanagement))</w:t>
      </w:r>
    </w:p>
    <w:p w14:paraId="22BE799C" w14:textId="77777777" w:rsidR="00573E2E" w:rsidRDefault="00000000">
      <w:pPr>
        <w:pStyle w:val="Listenabsatz"/>
      </w:pPr>
      <w:r>
        <w:rPr>
          <w:color w:val="000000"/>
        </w:rPr>
        <w:lastRenderedPageBreak/>
        <w:t>Datenschutz (siehe CON.2 Datenschutz)</w:t>
      </w:r>
    </w:p>
    <w:p w14:paraId="004C1B36" w14:textId="77777777" w:rsidR="00573E2E" w:rsidRDefault="00000000">
      <w:pPr>
        <w:pStyle w:val="Listenabsatz"/>
      </w:pPr>
      <w:r>
        <w:rPr>
          <w:color w:val="000000"/>
        </w:rPr>
        <w:t>Protokollierung (siehe OPS.1.1.5 Protokollierung)</w:t>
      </w:r>
    </w:p>
    <w:p w14:paraId="02BC8950" w14:textId="77777777" w:rsidR="00573E2E" w:rsidRDefault="00000000">
      <w:pPr>
        <w:pStyle w:val="Listenabsatz"/>
      </w:pPr>
      <w:r>
        <w:rPr>
          <w:color w:val="000000"/>
        </w:rPr>
        <w:t>Tests und Freigaben von Software (siehe OPS.1.1.6 Software-Tests und -Freigaben)</w:t>
      </w:r>
    </w:p>
    <w:p w14:paraId="15EC795D" w14:textId="77777777" w:rsidR="00573E2E" w:rsidRDefault="00000000">
      <w:pPr>
        <w:pStyle w:val="Listenabsatz"/>
      </w:pPr>
      <w:r>
        <w:rPr>
          <w:color w:val="000000"/>
        </w:rPr>
        <w:t>Änderungen an eingesetzter Software (siehe OPS.1.1.3 Patch- und Änderungsmanagement)</w:t>
      </w:r>
    </w:p>
    <w:p w14:paraId="2BF8A896" w14:textId="77777777" w:rsidR="00573E2E" w:rsidRDefault="00000000">
      <w:pPr>
        <w:pStyle w:val="Listenabsatz"/>
      </w:pPr>
      <w:r>
        <w:rPr>
          <w:color w:val="000000"/>
        </w:rPr>
        <w:t>Detektion und Behandlung von Sicherheitsvorfällen (siehe DER.1 Detektion von sicherheitsrelevanten Ereignissen und DER.2.1 Behandlung von Sicherheitsvorfällen)</w:t>
      </w:r>
    </w:p>
    <w:p w14:paraId="7D6844D6" w14:textId="77777777" w:rsidR="00573E2E" w:rsidRDefault="00000000">
      <w:pPr>
        <w:pStyle w:val="Listenabsatz"/>
      </w:pPr>
      <w:r>
        <w:rPr>
          <w:color w:val="000000"/>
        </w:rPr>
        <w:t>Notfallvorsorge (siehe DER.4 Notfallmanagement)</w:t>
      </w:r>
    </w:p>
    <w:p w14:paraId="2425D319" w14:textId="77777777" w:rsidR="00573E2E" w:rsidRDefault="00000000">
      <w:r>
        <w:t>Dieser Baustein behandelt nicht</w:t>
      </w:r>
    </w:p>
    <w:p w14:paraId="5A201FDA" w14:textId="77777777" w:rsidR="00573E2E" w:rsidRDefault="00000000">
      <w:pPr>
        <w:pStyle w:val="Listenabsatz"/>
      </w:pPr>
      <w:r>
        <w:rPr>
          <w:color w:val="000000"/>
        </w:rPr>
        <w:t>die vollständige rechtliche Bewertung von KI-Anwendungen. Rechtliche Anforderungen werden nur genannt, soweit sie für die Informationssicherheit oder die Freigabe von Bedeutung sind. Die Bewertung im Einzelfall erfolgt unter Einbindung der Datenschutzbeauftragten und gegebenenfalls der Rechtsabteilung.</w:t>
      </w:r>
    </w:p>
    <w:p w14:paraId="1D72C9C3" w14:textId="77777777" w:rsidR="00573E2E" w:rsidRDefault="00000000">
      <w:pPr>
        <w:pStyle w:val="berschrift1"/>
      </w:pPr>
      <w:r>
        <w:t>Gefährdungslage</w:t>
      </w:r>
    </w:p>
    <w:p w14:paraId="57B2EFF7" w14:textId="77777777" w:rsidR="00573E2E" w:rsidRDefault="00000000">
      <w:r>
        <w:t>Da IT-Grundschutz-Bausteine nicht auf individuelle Informationsverbünde eingehen können, werden zur Darstellung der Gefährdungslage typische Szenarien zugrunde gelegt. Die folgenden spezifischen Bedrohungen und Schwachstellen sind für den Baustein OPS.bd.1 Einsatz von Künstlicher Intelligenz von besonderer Bedeutung.</w:t>
      </w:r>
    </w:p>
    <w:p w14:paraId="06ACC46E" w14:textId="77777777" w:rsidR="00573E2E" w:rsidRDefault="00000000">
      <w:pPr>
        <w:pStyle w:val="berschrift2"/>
      </w:pPr>
      <w:r>
        <w:t>Unkontrollierte Nutzung von KI-Anwendungen (Schatten-KI)</w:t>
      </w:r>
    </w:p>
    <w:p w14:paraId="2CF86071" w14:textId="77777777" w:rsidR="00573E2E" w:rsidRDefault="00000000">
      <w:r>
        <w:t>KI-Anwendungen werden genutzt, ohne dass die Institution davon weiß.</w:t>
      </w:r>
    </w:p>
    <w:p w14:paraId="4F989688" w14:textId="77777777" w:rsidR="00573E2E" w:rsidRDefault="00000000">
      <w:r>
        <w:t>Mitarbeitende nutzen KI-Anwendungen häufig eigenständig, etwa über den Browser, private Konten, Apps auf Smartphones der Institution oder Browser-Erweiterungen. Zusätzlich werden KI-Funktionen in bereits eingesetzter Software durch Updates aktiviert. Wenn der Institution nicht bekannt ist, welche KI-Anwendungen wofür genutzt werden, dann kann sie weder Risiken bewerten noch Regeln durchsetzen.</w:t>
      </w:r>
    </w:p>
    <w:p w14:paraId="2BD3C430" w14:textId="77777777" w:rsidR="00573E2E" w:rsidRDefault="00000000">
      <w:pPr>
        <w:pStyle w:val="berschrift2"/>
      </w:pPr>
      <w:r>
        <w:t>Abfluss vertraulicher Informationen an KI-Anbieter</w:t>
      </w:r>
    </w:p>
    <w:p w14:paraId="761A24AD" w14:textId="77777777" w:rsidR="00573E2E" w:rsidRDefault="00000000">
      <w:r>
        <w:t>Schutzbedürftige Informationen können über KI-Anwendungen in die Hände Dritter gelangen.</w:t>
      </w:r>
    </w:p>
    <w:p w14:paraId="63FDE660" w14:textId="77777777" w:rsidR="00573E2E" w:rsidRDefault="00000000">
      <w:r>
        <w:t>Informationen gelangen auf vielen Wegen zu KI-Anwendungen und damit oft zu deren Anbietern: über Eingaben und hochgeladene Dateien, über angebundene Dateiablagen, Postfächer und Wissensdatenbanken, über Konnektoren und Schnittstellen zu anderen Anwendungen sowie über Aufzeichnungen von Besprechungen. Wenn diese Informationen personenbezogene Daten, Geschäfts- oder Dienstgeheimnisse, Zugangsdaten oder andere schutzbedürftige Informationen enthalten, dann verlassen sie die Kontrolle der Institution.</w:t>
      </w:r>
    </w:p>
    <w:p w14:paraId="1E7BCF83" w14:textId="77777777" w:rsidR="00573E2E" w:rsidRDefault="00000000">
      <w:r>
        <w:t>Besonders kritisch sind dauerhafte Anbindungen an Datenbestände sowie Transkriptions- und Notizfunktionen in Besprechungen, da dabei laufend und oft unbemerkt umfangreiche Informationen an Dritte übermittelt werden. Die Offenlegung von Informationen innerhalb der Institution durch zu weitreichende Berechtigungen wird in Abschnitt 2.6 behandelt.</w:t>
      </w:r>
    </w:p>
    <w:p w14:paraId="0ED497E1" w14:textId="77777777" w:rsidR="00573E2E" w:rsidRDefault="00000000">
      <w:pPr>
        <w:pStyle w:val="berschrift2"/>
      </w:pPr>
      <w:r>
        <w:t>Unzureichende rechtliche oder vertragliche Grundlage und Weiterverwendung übermittelter Daten</w:t>
      </w:r>
    </w:p>
    <w:p w14:paraId="0CD34A90" w14:textId="77777777" w:rsidR="00573E2E" w:rsidRDefault="00000000">
      <w:r>
        <w:t>KI-Anwendungen werden ohne tragfähige rechtliche und vertragliche Grundlage genutzt.</w:t>
      </w:r>
    </w:p>
    <w:p w14:paraId="20E03627" w14:textId="77777777" w:rsidR="00573E2E" w:rsidRDefault="00000000">
      <w:r>
        <w:t>Viele KI-Dienste werden ohne geprüfte Vertragsgrundlage genutzt, häufig über kostenlose oder private Konten. Die Anbieter behalten sich dann vor, übermittelte Daten wie Eingaben, hochgeladene Dateien, Inhalte angebundener Datenbestände, Protokolle und Nutzungsdaten zu speichern, auszuwerten oder zum Training ihrer Modelle zu verwenden.</w:t>
      </w:r>
    </w:p>
    <w:p w14:paraId="548A46B7" w14:textId="77777777" w:rsidR="00573E2E" w:rsidRDefault="00000000">
      <w:r>
        <w:lastRenderedPageBreak/>
        <w:t>Wenn erforderliche Rechtsgrundlagen oder Vereinbarungen fehlen oder ausreichende Informationen zu Datenstandort, Drittlandübermittlungen, Löschfristen und Schutzmaßnahmen nicht vorliegen, dann kann die Nutzung unzulässig sein oder nicht belastbar freigegeben werden. Die Institution verliert dadurch die Kontrolle über ihre Informationen.</w:t>
      </w:r>
    </w:p>
    <w:p w14:paraId="57C7BE6F" w14:textId="77777777" w:rsidR="00573E2E" w:rsidRDefault="00000000">
      <w:pPr>
        <w:pStyle w:val="berschrift2"/>
      </w:pPr>
      <w:r>
        <w:t>Fehlerhafte Ergebnisse und unkritische Übernahme</w:t>
      </w:r>
    </w:p>
    <w:p w14:paraId="24E18E01" w14:textId="77777777" w:rsidR="00573E2E" w:rsidRDefault="00000000">
      <w:r>
        <w:t>Fehlerhafte KI-Ergebnisse können unbemerkt in Entscheidungen und Dokumente einfließen.</w:t>
      </w:r>
    </w:p>
    <w:p w14:paraId="7C11827E" w14:textId="77777777" w:rsidR="00573E2E" w:rsidRDefault="00000000">
      <w:r>
        <w:t>KI-Anwendungen erzeugen plausibel klingende, aber falsche, unvollständige oder erfundene Ergebnisse (Halluzinationen), etwa nicht existierende Quellen, Rechtsnormen oder Fakten. Ergebnisse können zudem verzerrt oder diskriminierend sein. Wenn sie ohne Prüfung übernommen werden, weil sie überzeugend wirken (Automation Bias), dann entstehen fehlerhafte Entscheidungen, Dokumente oder Auskünfte mit Außenwirkung und daraus Haftungs- und Reputationsschäden.</w:t>
      </w:r>
    </w:p>
    <w:p w14:paraId="46C81C93" w14:textId="77777777" w:rsidR="00573E2E" w:rsidRDefault="00000000">
      <w:pPr>
        <w:pStyle w:val="berschrift2"/>
      </w:pPr>
      <w:r>
        <w:t>Unzureichende Nachvollziehbarkeit der Verarbeitung</w:t>
      </w:r>
    </w:p>
    <w:p w14:paraId="05FD1689" w14:textId="77777777" w:rsidR="00573E2E" w:rsidRDefault="00000000">
      <w:r>
        <w:t>Ergebnisse und Datenflüsse von KI-Anwendungen lassen sich oft nicht nachvollziehen.</w:t>
      </w:r>
    </w:p>
    <w:p w14:paraId="59564528" w14:textId="77777777" w:rsidR="00573E2E" w:rsidRDefault="00000000">
      <w:r>
        <w:t>Wie ein KI-Modell zu einem Ergebnis kommt, ist meist nicht nachvollziehbar. Zudem ist bei Diensten Dritter oft unklar, welche Daten wo verarbeitet und gespeichert werden und welche Unterauftragnehmer beteiligt sind. Dadurch lassen sich Entscheidungen nicht begründen, Rechenschaftspflichten nicht erfüllen und Betroffenenrechte nicht oder nur eingeschränkt umsetzen.</w:t>
      </w:r>
    </w:p>
    <w:p w14:paraId="5DA802FF" w14:textId="77777777" w:rsidR="00573E2E" w:rsidRDefault="00000000">
      <w:pPr>
        <w:pStyle w:val="berschrift2"/>
      </w:pPr>
      <w:r>
        <w:t>Offenlegung von Informationen durch zu weitreichende Berechtigungen</w:t>
      </w:r>
    </w:p>
    <w:p w14:paraId="1187C6F5" w14:textId="77777777" w:rsidR="00573E2E" w:rsidRDefault="00000000">
      <w:r>
        <w:t>KI-Assistenten machen Informationen auffindbar, die bisher faktisch verborgen waren.</w:t>
      </w:r>
    </w:p>
    <w:p w14:paraId="20E86213" w14:textId="77777777" w:rsidR="00573E2E" w:rsidRDefault="00000000">
      <w:r>
        <w:t>KI-Assistenten mit Zugriff auf Dateiablagen, Postfächer, Kalender oder Wissensdatenbanken finden und fassen alle Informationen zusammen, auf die die jeweilige Person berechtigt ist. Wenn Freigaben und Zugriffsrechte historisch zu großzügig vergeben wurden, dann werden vertrauliche Informationen dadurch plötzlich leicht auffindbar, etwa Personal-, Gehalts- oder Vertragsdaten.</w:t>
      </w:r>
    </w:p>
    <w:p w14:paraId="0E0727CE" w14:textId="77777777" w:rsidR="00573E2E" w:rsidRDefault="00000000">
      <w:pPr>
        <w:pStyle w:val="berschrift2"/>
      </w:pPr>
      <w:r>
        <w:t>Manipulation durch Prompt Injection</w:t>
      </w:r>
    </w:p>
    <w:p w14:paraId="438EC674" w14:textId="77777777" w:rsidR="00573E2E" w:rsidRDefault="00000000">
      <w:r>
        <w:t>Angreifende können KI-Anwendungen über manipulierte Inhalte steuern.</w:t>
      </w:r>
    </w:p>
    <w:p w14:paraId="576027F5" w14:textId="77777777" w:rsidR="00573E2E" w:rsidRDefault="00000000">
      <w:r>
        <w:t>Anweisungen an eine KI können in Inhalten versteckt werden, die diese verarbeitet, etwa in Webseiten, E-Mails, Dokumenten oder Bildern (indirekte Prompt Injection). Die KI führt diese Anweisungen dann aus, gibt vertrauliche Informationen preis, verfälscht Ergebnisse oder löst unerwünschte Aktionen aus.</w:t>
      </w:r>
    </w:p>
    <w:p w14:paraId="1EE9B759" w14:textId="77777777" w:rsidR="00573E2E" w:rsidRDefault="00000000">
      <w:pPr>
        <w:pStyle w:val="berschrift2"/>
      </w:pPr>
      <w:r>
        <w:t>Unkontrollierte Handlungen agentischer KI</w:t>
      </w:r>
    </w:p>
    <w:p w14:paraId="072BA6E7" w14:textId="77777777" w:rsidR="00573E2E" w:rsidRDefault="00000000">
      <w:r>
        <w:t>KI-Agenten können ohne ausreichende Kontrolle Schäden in anderen Systemen verursachen.</w:t>
      </w:r>
    </w:p>
    <w:p w14:paraId="30AEB007" w14:textId="77777777" w:rsidR="00573E2E" w:rsidRDefault="00000000">
      <w:r>
        <w:t>KI-Agenten handeln zunehmend selbstständig: Sie versenden E-Mails, legen Termine an, ändern Dateien, rufen Schnittstellen auf oder tätigen Bestellungen. Wenn ihre Berechtigungen zu weit gefasst sind oder Freigabeschritte fehlen, dann können Fehlinterpretationen oder Manipulationen unmittelbar zu Schäden führen, etwa zu Datenabfluss, Datenverlust oder unberechtigten Transaktionen.</w:t>
      </w:r>
    </w:p>
    <w:p w14:paraId="38A3DAA7" w14:textId="77777777" w:rsidR="00573E2E" w:rsidRDefault="00000000">
      <w:pPr>
        <w:pStyle w:val="berschrift2"/>
      </w:pPr>
      <w:r>
        <w:t>Täuschung durch Deepfakes und KI-gestütztes Social Engineering</w:t>
      </w:r>
    </w:p>
    <w:p w14:paraId="010817E8" w14:textId="77777777" w:rsidR="00573E2E" w:rsidRDefault="00000000">
      <w:r>
        <w:t>Mit KI erzeugte Stimmen, Bilder und Texte erleichtern Täuschungsangriffe.</w:t>
      </w:r>
    </w:p>
    <w:p w14:paraId="2E89CD97" w14:textId="77777777" w:rsidR="00573E2E" w:rsidRDefault="00000000">
      <w:r>
        <w:t>Mit KI lassen sich täuschend echte Stimmen, Videos, Bilder und Texte erzeugen. Angreifende geben sich so am Telefon oder in Videokonferenzen als Leitungspersonen, Kolleginnen und Kollegen oder Geschäftspartner aus, um Zahlungen, Datenherausgaben oder Zugänge zu erwirken. Phishing-Nachrichten werden fehlerfrei und personalisiert und sind dadurch schwerer zu erkennen.</w:t>
      </w:r>
    </w:p>
    <w:p w14:paraId="77A0D712" w14:textId="77777777" w:rsidR="00573E2E" w:rsidRDefault="00000000">
      <w:pPr>
        <w:pStyle w:val="berschrift2"/>
      </w:pPr>
      <w:r>
        <w:lastRenderedPageBreak/>
        <w:t>Abhängigkeit vom Anbieter, unbemerkte Änderungen und Ausfall</w:t>
      </w:r>
    </w:p>
    <w:p w14:paraId="7067C23D" w14:textId="77777777" w:rsidR="00573E2E" w:rsidRDefault="00000000">
      <w:r>
        <w:t>Änderungen und Ausfälle bei Anbietern können Bewertungen entwerten und Prozesse unterbrechen.</w:t>
      </w:r>
    </w:p>
    <w:p w14:paraId="57938795" w14:textId="77777777" w:rsidR="00573E2E" w:rsidRDefault="00000000">
      <w:r>
        <w:t>Anbieter ändern Modelle, Funktionen, Voreinstellungen, Nutzungsbedingungen oder Preise häufig und teils kurzfristig. Eine einmal getroffene Bewertung verliert dadurch ihre Gültigkeit, ohne dass dies auffällt. Wenn ein KI-Dienst ausfällt, eingestellt wird oder ein Wechsel wegen proprietärer Formate nur schwer möglich ist, dann können davon abhängige Prozesse nicht mehr oder nur eingeschränkt ausgeführt werden.</w:t>
      </w:r>
    </w:p>
    <w:p w14:paraId="51C54ED9" w14:textId="77777777" w:rsidR="00573E2E" w:rsidRDefault="00000000">
      <w:pPr>
        <w:pStyle w:val="berschrift2"/>
      </w:pPr>
      <w:r>
        <w:t>Manipulierte Modelle oder Trainingsdaten</w:t>
      </w:r>
    </w:p>
    <w:p w14:paraId="196EAE01" w14:textId="77777777" w:rsidR="00573E2E" w:rsidRDefault="00000000">
      <w:r>
        <w:t>Manipulierte Modelle oder Daten führen im Eigenbetrieb zu gezielt falschen Ergebnissen.</w:t>
      </w:r>
    </w:p>
    <w:p w14:paraId="461627AB" w14:textId="77777777" w:rsidR="00573E2E" w:rsidRDefault="00000000">
      <w:r>
        <w:t>Im Eigenbetrieb werden Modelle häufig aus öffentlichen Quellen bezogen. Diese können manipuliert sein, Schadcode enthalten oder versteckte Verhaltensweisen aufweisen. Wenn Trainings- oder Wissensdaten verfälscht werden (Data Poisoning), dann liefert das System gezielt falsche Ergebnisse. Solche Manipulationen sind ohne besondere Prüfung kaum zu erkennen.</w:t>
      </w:r>
    </w:p>
    <w:p w14:paraId="5AFC93A6" w14:textId="77777777" w:rsidR="00573E2E" w:rsidRDefault="00000000">
      <w:pPr>
        <w:pStyle w:val="berschrift1"/>
      </w:pPr>
      <w:r>
        <w:t>Anforderungen</w:t>
      </w:r>
    </w:p>
    <w:p w14:paraId="26B940EA" w14:textId="77777777" w:rsidR="00573E2E" w:rsidRDefault="00000000">
      <w:r>
        <w:t>Im Folgenden sind die spezifischen Anforderungen des Bausteins OPS.bd.1 Einsatz von Künstlicher Intelligenz aufgeführt. Der ISB ist dafür zuständig, dass alle Anforderungen gemäß dem festgelegten Sicherheitskonzept erfüllt und überprüft werden. Bei strategischen Entscheidungen ist der ISB stets einzubeziehen.</w:t>
      </w:r>
    </w:p>
    <w:p w14:paraId="2BFC2348" w14:textId="77777777" w:rsidR="00573E2E" w:rsidRDefault="00000000">
      <w:r>
        <w:t>Im IT-Grundschutz-Kompendium sind darüber hinaus weitere Rollen definiert. Sie sollten besetzt werden, insofern dies sinnvoll und angemessen ist.</w:t>
      </w:r>
    </w:p>
    <w:tbl>
      <w:tblPr>
        <w:tblW w:w="5000" w:type="pct"/>
        <w:tblCellSpacing w:w="0" w:type="dxa"/>
        <w:tblBorders>
          <w:top w:val="single" w:sz="4" w:space="0" w:color="auto"/>
          <w:left w:val="single" w:sz="4" w:space="0" w:color="auto"/>
          <w:bottom w:val="single" w:sz="4" w:space="0" w:color="auto"/>
          <w:right w:val="single" w:sz="4" w:space="0" w:color="auto"/>
          <w:insideH w:val="single" w:sz="6" w:space="0" w:color="000000"/>
          <w:insideV w:val="single" w:sz="6" w:space="0" w:color="000000"/>
        </w:tblBorders>
        <w:tblCellMar>
          <w:top w:w="60" w:type="dxa"/>
          <w:left w:w="60" w:type="dxa"/>
          <w:bottom w:w="60" w:type="dxa"/>
          <w:right w:w="60" w:type="dxa"/>
        </w:tblCellMar>
        <w:tblLook w:val="04A0" w:firstRow="1" w:lastRow="0" w:firstColumn="1" w:lastColumn="0" w:noHBand="0" w:noVBand="1"/>
      </w:tblPr>
      <w:tblGrid>
        <w:gridCol w:w="5097"/>
        <w:gridCol w:w="5097"/>
      </w:tblGrid>
      <w:tr w:rsidR="00C00EE9" w:rsidRPr="00F0727A" w14:paraId="6352F55C" w14:textId="77777777" w:rsidTr="0071488B">
        <w:trPr>
          <w:tblHeader/>
          <w:tblCellSpacing w:w="0" w:type="dxa"/>
        </w:trPr>
        <w:tc>
          <w:tcPr>
            <w:tcW w:w="2500" w:type="pct"/>
            <w:tcMar>
              <w:top w:w="57" w:type="dxa"/>
              <w:left w:w="57" w:type="dxa"/>
              <w:bottom w:w="57" w:type="dxa"/>
              <w:right w:w="0" w:type="dxa"/>
            </w:tcMar>
          </w:tcPr>
          <w:p w14:paraId="02E24592" w14:textId="77777777" w:rsidR="00C00EE9" w:rsidRPr="00F0727A" w:rsidRDefault="00C00EE9" w:rsidP="008258AF">
            <w:pPr>
              <w:rPr>
                <w:rFonts w:cs="Times New Roman"/>
                <w:b/>
              </w:rPr>
            </w:pPr>
            <w:r w:rsidRPr="00F0727A">
              <w:rPr>
                <w:rFonts w:cs="Times New Roman"/>
                <w:b/>
              </w:rPr>
              <w:t>Zuständigkeiten</w:t>
            </w:r>
          </w:p>
        </w:tc>
        <w:tc>
          <w:tcPr>
            <w:tcW w:w="2500" w:type="pct"/>
            <w:tcMar>
              <w:top w:w="57" w:type="dxa"/>
              <w:left w:w="57" w:type="dxa"/>
              <w:bottom w:w="57" w:type="dxa"/>
              <w:right w:w="57" w:type="dxa"/>
            </w:tcMar>
          </w:tcPr>
          <w:p w14:paraId="3D939F4C" w14:textId="77777777" w:rsidR="00C00EE9" w:rsidRPr="00F0727A" w:rsidRDefault="00C00EE9" w:rsidP="008258AF">
            <w:pPr>
              <w:rPr>
                <w:rFonts w:cs="Times New Roman"/>
                <w:b/>
              </w:rPr>
            </w:pPr>
            <w:r w:rsidRPr="00F0727A">
              <w:rPr>
                <w:rFonts w:cs="Times New Roman"/>
                <w:b/>
              </w:rPr>
              <w:t>Rollen</w:t>
            </w:r>
          </w:p>
        </w:tc>
      </w:tr>
      <w:tr w:rsidR="00C00EE9" w:rsidRPr="00F0727A" w14:paraId="3841B446" w14:textId="77777777" w:rsidTr="0071488B">
        <w:trPr>
          <w:tblHeader/>
          <w:tblCellSpacing w:w="0" w:type="dxa"/>
        </w:trPr>
        <w:tc>
          <w:tcPr>
            <w:tcW w:w="2500" w:type="pct"/>
            <w:tcMar>
              <w:top w:w="57" w:type="dxa"/>
              <w:left w:w="57" w:type="dxa"/>
              <w:bottom w:w="57" w:type="dxa"/>
              <w:right w:w="0" w:type="dxa"/>
            </w:tcMar>
            <w:hideMark/>
          </w:tcPr>
          <w:p w14:paraId="009BB799" w14:textId="77777777" w:rsidR="00C00EE9" w:rsidRPr="00F0727A" w:rsidRDefault="00C00EE9" w:rsidP="008258AF">
            <w:pPr>
              <w:rPr>
                <w:rFonts w:cs="Times New Roman"/>
              </w:rPr>
            </w:pPr>
            <w:r w:rsidRPr="00F0727A">
              <w:rPr>
                <w:rFonts w:cs="Times New Roman"/>
              </w:rPr>
              <w:t>Grundsätzlich zuständig</w:t>
            </w:r>
          </w:p>
        </w:tc>
        <w:tc>
          <w:tcPr>
            <w:tcW w:w="2500" w:type="pct"/>
            <w:tcMar>
              <w:top w:w="57" w:type="dxa"/>
              <w:left w:w="57" w:type="dxa"/>
              <w:bottom w:w="57" w:type="dxa"/>
              <w:right w:w="57" w:type="dxa"/>
            </w:tcMar>
            <w:hideMark/>
          </w:tcPr>
          <w:p w14:paraId="70DF0EA5" w14:textId="77777777" w:rsidR="00C00EE9" w:rsidRPr="00F0727A" w:rsidRDefault="00C00EE9" w:rsidP="008258AF">
            <w:pPr>
              <w:rPr>
                <w:rFonts w:cs="Times New Roman"/>
              </w:rPr>
            </w:pPr>
            <w:r>
              <w:t>Informationssicherheitsbeauftragte (ISB)</w:t>
            </w:r>
          </w:p>
        </w:tc>
      </w:tr>
      <w:tr w:rsidR="00C00EE9" w:rsidRPr="00F0727A" w14:paraId="41C2F22A" w14:textId="77777777" w:rsidTr="0071488B">
        <w:trPr>
          <w:tblHeader/>
          <w:tblCellSpacing w:w="0" w:type="dxa"/>
        </w:trPr>
        <w:tc>
          <w:tcPr>
            <w:tcW w:w="2500" w:type="pct"/>
            <w:tcMar>
              <w:top w:w="0" w:type="dxa"/>
              <w:left w:w="57" w:type="dxa"/>
              <w:bottom w:w="57" w:type="dxa"/>
              <w:right w:w="0" w:type="dxa"/>
            </w:tcMar>
            <w:hideMark/>
          </w:tcPr>
          <w:p w14:paraId="4BADA8B0" w14:textId="77777777" w:rsidR="00C00EE9" w:rsidRPr="00F0727A" w:rsidRDefault="00C00EE9" w:rsidP="008258AF">
            <w:pPr>
              <w:rPr>
                <w:rFonts w:cs="Times New Roman"/>
              </w:rPr>
            </w:pPr>
            <w:r w:rsidRPr="00F0727A">
              <w:rPr>
                <w:rFonts w:cs="Times New Roman"/>
              </w:rPr>
              <w:t>Weitere Zuständigkeiten</w:t>
            </w:r>
          </w:p>
        </w:tc>
        <w:tc>
          <w:tcPr>
            <w:tcW w:w="2500" w:type="pct"/>
            <w:tcMar>
              <w:top w:w="0" w:type="dxa"/>
              <w:left w:w="57" w:type="dxa"/>
              <w:bottom w:w="57" w:type="dxa"/>
              <w:right w:w="57" w:type="dxa"/>
            </w:tcMar>
            <w:hideMark/>
          </w:tcPr>
          <w:p w14:paraId="602D37CF" w14:textId="77777777" w:rsidR="00C00EE9" w:rsidRPr="00F0727A" w:rsidRDefault="00C00EE9" w:rsidP="008258AF">
            <w:pPr>
              <w:rPr>
                <w:rFonts w:cs="Times New Roman"/>
              </w:rPr>
            </w:pPr>
            <w:r>
              <w:t>Institutionsleitung, Datenschutzbeauftragte, Fachverantwortliche, IT-Betrieb, Personalabteilung, Benutzende</w:t>
            </w:r>
          </w:p>
        </w:tc>
      </w:tr>
    </w:tbl>
    <w:p w14:paraId="6ED119A9" w14:textId="77777777" w:rsidR="00573E2E" w:rsidRDefault="00000000">
      <w:r>
        <w:t xml:space="preserve">Genau eine Rolle sollte </w:t>
      </w:r>
      <w:r>
        <w:rPr>
          <w:i/>
        </w:rPr>
        <w:t>Grundsätzlich zuständig</w:t>
      </w:r>
      <w:r>
        <w:t xml:space="preserve"> sein. Darüber hinaus kann es noch </w:t>
      </w:r>
      <w:r>
        <w:rPr>
          <w:i/>
        </w:rPr>
        <w:t>Weitere Zuständigkeiten</w:t>
      </w:r>
      <w:r>
        <w:t xml:space="preserve"> geben. Falls eine dieser weiteren Rollen für die Erfüllung einer Anforderung vorrangig zuständig ist, dann wird diese Rolle hinter der Überschrift der Anforderung in eckigen Klammern aufgeführt.</w:t>
      </w:r>
    </w:p>
    <w:p w14:paraId="66D25184" w14:textId="77777777" w:rsidR="00573E2E" w:rsidRDefault="00000000">
      <w:r>
        <w:t>Unter den Anforderungen erläutern grau hinterlegte, mit „Erläuterung“ gekennzeichnete Abschnitte die Umsetzung. Diese Abschnitte sind nicht normativ und nicht Teil der Prüfung. Hinweise für öffentliche Stellen und für Unternehmen sind dort gesondert gekennzeichnet.</w:t>
      </w:r>
    </w:p>
    <w:p w14:paraId="2D8E2F2A" w14:textId="77777777" w:rsidR="00573E2E" w:rsidRDefault="00000000">
      <w:pPr>
        <w:pStyle w:val="berschrift2"/>
      </w:pPr>
      <w:r>
        <w:t>Basis-Anforderungen</w:t>
      </w:r>
    </w:p>
    <w:p w14:paraId="42B41B8D" w14:textId="77777777" w:rsidR="00573E2E" w:rsidRDefault="00000000">
      <w:r>
        <w:t>Die folgenden Anforderungen MÜSSEN für diesen Baustein vorrangig erfüllt werden.</w:t>
      </w:r>
    </w:p>
    <w:p w14:paraId="1291BA08" w14:textId="77777777" w:rsidR="00573E2E" w:rsidRDefault="00000000">
      <w:pPr>
        <w:pStyle w:val="berschrift3"/>
      </w:pPr>
      <w:r>
        <w:t>OPS.bd.1.A1 Festlegung von Verantwortlichkeiten (B) [Institutionsleitung]</w:t>
      </w:r>
    </w:p>
    <w:p w14:paraId="7B9A7528" w14:textId="77777777" w:rsidR="00573E2E" w:rsidRDefault="00000000">
      <w:pPr>
        <w:spacing w:after="60"/>
      </w:pPr>
      <w:r>
        <w:t>Die Institutionsleitung MUSS festlegen, wer für die Steuerung des KI-Einsatzes verantwortlich ist.</w:t>
      </w:r>
    </w:p>
    <w:p w14:paraId="6F8D7ED5" w14:textId="77777777" w:rsidR="00573E2E" w:rsidRDefault="00000000">
      <w:pPr>
        <w:spacing w:after="60"/>
      </w:pPr>
      <w:r>
        <w:t>Die Institutionsleitung MUSS festlegen, wer über die Freigabe von KI-Anwendungen entscheidet.</w:t>
      </w:r>
    </w:p>
    <w:p w14:paraId="2247A299" w14:textId="77777777" w:rsidR="00573E2E" w:rsidRDefault="00000000">
      <w:pPr>
        <w:spacing w:after="60"/>
      </w:pPr>
      <w:r>
        <w:t>Der ISB MUSS frühzeitig in Entscheidungen zum KI-Einsatz eingebunden werden.</w:t>
      </w:r>
    </w:p>
    <w:p w14:paraId="31358CBE" w14:textId="77777777" w:rsidR="00573E2E" w:rsidRDefault="00000000">
      <w:pPr>
        <w:spacing w:after="60"/>
      </w:pPr>
      <w:r>
        <w:t>Die Datenschutzbeauftragten MÜSSEN frühzeitig in Entscheidungen zum KI-Einsatz eingebunden werden.</w:t>
      </w:r>
    </w:p>
    <w:p w14:paraId="6E652199" w14:textId="77777777" w:rsidR="00573E2E" w:rsidRDefault="00000000">
      <w:pPr>
        <w:spacing w:after="60"/>
      </w:pPr>
      <w:r>
        <w:t>Für jede freigegebene KI-Anwendung MUSS eine verantwortliche Person benannt werden.</w:t>
      </w:r>
    </w:p>
    <w:p w14:paraId="38C6DCD9" w14:textId="77777777" w:rsidR="00573E2E" w:rsidRDefault="00000000">
      <w:pPr>
        <w:pBdr>
          <w:left w:val="single" w:sz="18" w:space="6" w:color="9E9E9E"/>
        </w:pBdr>
        <w:shd w:val="clear" w:color="auto" w:fill="F2F2F2"/>
        <w:spacing w:before="60"/>
        <w:ind w:left="170" w:right="170"/>
      </w:pPr>
      <w:r>
        <w:rPr>
          <w:b/>
        </w:rPr>
        <w:t xml:space="preserve">Erläuterung: </w:t>
      </w:r>
      <w:r>
        <w:t xml:space="preserve">Eine eigene Rolle „KI-Beauftragte“ ist nicht erforderlich. In kleinen Institutionen kann die Verantwortung bei der Leitung, beim IT-Betrieb oder beim ISB liegen. Größere Institutionen bilden häufig ein </w:t>
      </w:r>
      <w:r>
        <w:lastRenderedPageBreak/>
        <w:t>Gremium aus Fachbereichen, IT-Betrieb, ISB, Datenschutz und gegebenenfalls Rechtsabteilung. Entscheidend ist, dass die Zuständigkeiten dokumentiert und allen bekannt sind, damit Mitarbeitende wissen, an wen sie sich mit Fragen oder Wünschen nach neuen KI-Anwendungen wenden. Auch die Entscheidung, KI vorerst nicht einzusetzen, ist eine Entscheidung, die getroffen, dokumentiert und in ihrer Einhaltung überprüft werden muss.</w:t>
      </w:r>
      <w:r>
        <w:br/>
      </w:r>
      <w:r>
        <w:br/>
        <w:t>Frühzeitig heißt: bevor Verträge unterschrieben, Lizenzen bestellt oder Einführungstermine festgelegt sind. Wer ISB und Datenschutzbeauftragten am Freitagnachmittag ein neues KI-Tool vorlegt, mit der Bitte um Rückmeldung bis Montag, weil dann der Rollout startet, bindet nicht ein, sondern informiert. Und muss damit rechnen, dass die Antwort am Montag „Stopp“ lautet.</w:t>
      </w:r>
    </w:p>
    <w:p w14:paraId="40134AD2" w14:textId="77777777" w:rsidR="00573E2E" w:rsidRDefault="00000000">
      <w:pPr>
        <w:pStyle w:val="berschrift3"/>
      </w:pPr>
      <w:r>
        <w:t>OPS.bd.1.A2 Bestandsaufnahme und Führung eines KI-Registers (B) [Fachverantwortliche, IT-Betrieb]</w:t>
      </w:r>
    </w:p>
    <w:p w14:paraId="3F2A39E6" w14:textId="77777777" w:rsidR="00573E2E" w:rsidRDefault="00000000">
      <w:pPr>
        <w:spacing w:after="60"/>
      </w:pPr>
      <w:r>
        <w:t>Alle in der Institution eingesetzten KI-Anwendungen MÜSSEN erfasst werden.</w:t>
      </w:r>
    </w:p>
    <w:p w14:paraId="51FBFDB4" w14:textId="77777777" w:rsidR="00573E2E" w:rsidRDefault="00000000">
      <w:pPr>
        <w:spacing w:after="60"/>
      </w:pPr>
      <w:r>
        <w:t>Die Erfassung MUSS auch KI-Funktionen umfassen, die in bereits eingesetzter Software enthalten sind.</w:t>
      </w:r>
    </w:p>
    <w:p w14:paraId="4B40B15D" w14:textId="77777777" w:rsidR="00573E2E" w:rsidRDefault="00000000">
      <w:pPr>
        <w:spacing w:after="60"/>
      </w:pPr>
      <w:r>
        <w:t>Die erfassten KI-Anwendungen MÜSSEN in einem KI-Register dokumentiert werden.</w:t>
      </w:r>
    </w:p>
    <w:p w14:paraId="0BE127DC" w14:textId="77777777" w:rsidR="00573E2E" w:rsidRDefault="00000000">
      <w:pPr>
        <w:spacing w:after="60"/>
      </w:pPr>
      <w:r>
        <w:t>Das KI-Register MUSS für jede KI-Anwendung mindestens folgende Angaben enthalten:</w:t>
      </w:r>
      <w:r>
        <w:br/>
        <w:t>– Bezeichnung und Anbieter,</w:t>
      </w:r>
      <w:r>
        <w:br/>
        <w:t>– Einsatzform (Nutzung oder Eigenbetrieb),</w:t>
      </w:r>
      <w:r>
        <w:br/>
        <w:t>– Zweck und Kreis der Benutzenden,</w:t>
      </w:r>
      <w:r>
        <w:br/>
        <w:t>– zulässige Informationen,</w:t>
      </w:r>
      <w:r>
        <w:br/>
        <w:t>– Freigabestatus sowie</w:t>
      </w:r>
      <w:r>
        <w:br/>
        <w:t>– verantwortliche Person.</w:t>
      </w:r>
    </w:p>
    <w:p w14:paraId="57C2EC0D" w14:textId="77777777" w:rsidR="00573E2E" w:rsidRDefault="00000000">
      <w:pPr>
        <w:spacing w:after="60"/>
      </w:pPr>
      <w:r>
        <w:t>Das KI-Register MUSS aktuell gehalten werden.</w:t>
      </w:r>
    </w:p>
    <w:p w14:paraId="6BE69359" w14:textId="77777777" w:rsidR="00573E2E" w:rsidRDefault="00000000">
      <w:pPr>
        <w:pBdr>
          <w:left w:val="single" w:sz="18" w:space="6" w:color="9E9E9E"/>
        </w:pBdr>
        <w:shd w:val="clear" w:color="auto" w:fill="F2F2F2"/>
        <w:spacing w:before="60"/>
        <w:ind w:left="170" w:right="170"/>
      </w:pPr>
      <w:r>
        <w:rPr>
          <w:b/>
        </w:rPr>
        <w:t xml:space="preserve">Erläuterung: </w:t>
      </w:r>
      <w:r>
        <w:t>Das KI-Register ist das zentrale Arbeitsmittel dieses Bausteins. Mehrere Anforderungen verlangen, Bewertungen je KI-Anwendung dort zu dokumentieren, etwa zur Vertragsgrundlage (A5), zur KI-Verordnung (A8), zum Datenschutz (A9) und zum nächsten Überprüfungstermin (A23). Die Form ist frei wählbar: eine Tabelle, ein Anwendungsverzeichnis oder ein ISMS-Werkzeug. Hinweise auf genutzte KI-Anwendungen liefern Software- und Lizenzinventare, Verträge und Rechnungen, Protokolle von Proxy- und DNS-Diensten, die Verwaltung mobiler Geräte sowie eine Abfrage in den Fachbereichen. Für eingebettete KI-Funktionen sind Versionshinweise und Ankündigungen der Hersteller auszuwerten. Es ist sinnvoll, das KI-Register mit dem Verzeichnis der Verarbeitungstätigkeiten zu verknüpfen, statt Angaben doppelt zu pflegen.</w:t>
      </w:r>
    </w:p>
    <w:p w14:paraId="07AFBB5D" w14:textId="77777777" w:rsidR="00573E2E" w:rsidRDefault="00000000">
      <w:pPr>
        <w:pStyle w:val="berschrift3"/>
      </w:pPr>
      <w:r>
        <w:t>OPS.bd.1.A3 Einrichtung eines Freigabeverfahrens für KI-Anwendungen (B) [Fachverantwortliche]</w:t>
      </w:r>
    </w:p>
    <w:p w14:paraId="7BB3A630" w14:textId="77777777" w:rsidR="00573E2E" w:rsidRDefault="00000000">
      <w:pPr>
        <w:spacing w:after="60"/>
      </w:pPr>
      <w:r>
        <w:t>Es MUSS ein Verfahren festgelegt werden, nach dem KI-Anwendungen vor ihrem Einsatz bewertet und freigegeben werden.</w:t>
      </w:r>
    </w:p>
    <w:p w14:paraId="35FB839D" w14:textId="77777777" w:rsidR="00573E2E" w:rsidRDefault="00000000">
      <w:pPr>
        <w:spacing w:after="60"/>
      </w:pPr>
      <w:r>
        <w:t>Für Zwecke der Institution DÜRFEN KEINE nicht freigegebenen KI-Anwendungen genutzt werden.</w:t>
      </w:r>
    </w:p>
    <w:p w14:paraId="0CF4E166" w14:textId="77777777" w:rsidR="00573E2E" w:rsidRDefault="00000000">
      <w:pPr>
        <w:spacing w:after="60"/>
      </w:pPr>
      <w:r>
        <w:t>Neue KI-Funktionen in bereits eingesetzter Software DÜRFEN NICHT ohne Freigabe genutzt werden.</w:t>
      </w:r>
    </w:p>
    <w:p w14:paraId="2977C4D9" w14:textId="77777777" w:rsidR="00573E2E" w:rsidRDefault="00000000">
      <w:pPr>
        <w:spacing w:after="60"/>
      </w:pPr>
      <w:r>
        <w:t>Vor der Freigabe MÜSSEN mindestens folgende Aspekte geprüft werden:</w:t>
      </w:r>
      <w:r>
        <w:br/>
        <w:t>– Zweck der KI-Anwendung,</w:t>
      </w:r>
      <w:r>
        <w:br/>
        <w:t>– Risiken für die Informationssicherheit,</w:t>
      </w:r>
      <w:r>
        <w:br/>
        <w:t>– rechtliche und vertragliche Grundlage (siehe OPS.bd.1.A5 Klärung der rechtlichen und vertraglichen Grundlage – Nutzung) sowie</w:t>
      </w:r>
      <w:r>
        <w:br/>
        <w:t>– datenschutzrechtliche Bewertung (siehe OPS.bd.1.A9 Datenschutzrechtliche Bewertung).</w:t>
      </w:r>
    </w:p>
    <w:p w14:paraId="72C7748C" w14:textId="77777777" w:rsidR="00573E2E" w:rsidRDefault="00000000">
      <w:pPr>
        <w:spacing w:after="60"/>
      </w:pPr>
      <w:r>
        <w:t>Die Freigabe MUSS dokumentiert werden.</w:t>
      </w:r>
    </w:p>
    <w:p w14:paraId="68CF1625" w14:textId="77777777" w:rsidR="00573E2E" w:rsidRDefault="00000000">
      <w:pPr>
        <w:spacing w:after="60"/>
      </w:pPr>
      <w:r>
        <w:t>Eine KI-Anwendung DARF die Zugriffsrechte der Benutzenden NICHT erweitern.</w:t>
      </w:r>
    </w:p>
    <w:p w14:paraId="6B9169DF" w14:textId="77777777" w:rsidR="00573E2E" w:rsidRDefault="00000000">
      <w:pPr>
        <w:spacing w:after="60"/>
      </w:pPr>
      <w:r>
        <w:t>Eine KI-Anwendung DARF bestehende Zugriffsbeschränkungen NICHT umgehen.</w:t>
      </w:r>
    </w:p>
    <w:p w14:paraId="44978773" w14:textId="77777777" w:rsidR="00573E2E" w:rsidRDefault="00000000">
      <w:pPr>
        <w:spacing w:after="60"/>
      </w:pPr>
      <w:r>
        <w:t>Falls eine KI-Anwendung selbstständig Aktionen mit erheblichen Auswirkungen in anderen Systemen ausführt, dann MÜSSEN vor der Freigabe die Berechtigungen und Bestätigungsschritte festgelegt werden (siehe OPS.bd.1.A15 Bereinigung von Berechtigungen vor der Einführung und siehe OPS.bd.1.A18 Begrenzung agentischer Funktionen und Schnittstellen).</w:t>
      </w:r>
    </w:p>
    <w:p w14:paraId="04340ECA" w14:textId="77777777" w:rsidR="00573E2E" w:rsidRDefault="00000000">
      <w:pPr>
        <w:spacing w:after="60"/>
      </w:pPr>
      <w:r>
        <w:t>Die freigegebenen KI-Anwendungen MÜSSEN den Benutzenden bekannt gegeben werden.</w:t>
      </w:r>
    </w:p>
    <w:p w14:paraId="5C27FDD9" w14:textId="77777777" w:rsidR="00573E2E" w:rsidRDefault="00000000">
      <w:pPr>
        <w:pBdr>
          <w:left w:val="single" w:sz="18" w:space="6" w:color="9E9E9E"/>
        </w:pBdr>
        <w:shd w:val="clear" w:color="auto" w:fill="F2F2F2"/>
        <w:spacing w:before="60"/>
        <w:ind w:left="170" w:right="170"/>
      </w:pPr>
      <w:r>
        <w:rPr>
          <w:b/>
        </w:rPr>
        <w:lastRenderedPageBreak/>
        <w:t xml:space="preserve">Erläuterung: </w:t>
      </w:r>
      <w:r>
        <w:t>Bewährt hat sich eine Positivliste freigegebener KI-Anwendungen mit einem einfachen Antragsweg für neue Wünsche. Die Prüftiefe sollte sich am Risiko orientieren: Ein Übersetzungsdienst für bereits veröffentlichte Texte erfordert weniger Aufwand als ein KI-Assistent mit Zugriff auf Postfächer und Dateiablagen. Ein generelles Verbot ist möglich, führt aber erfahrungsgemäß zu Schatten-KI, wenn keine freigegebene Alternative zur Verfügung steht. Eine Freigabe kann einen festgelegten Einsatzrahmen mit mehreren gleichartigen Anwendungsfällen abdecken. Eine erneute Freigabe ist insbesondere erforderlich, wenn neue Datenkategorien, Anbindungen, Berechtigungen oder wesentlich andere Risiken hinzukommen.</w:t>
      </w:r>
      <w:r>
        <w:br/>
      </w:r>
      <w:r>
        <w:br/>
        <w:t>Die Einführung von KI-Anwendungen berührt regelmäßig Beteiligungsrechte der Interessenvertretung, da viele Anwendungen technisch geeignet sind, Verhalten oder Leistung von Beschäftigten zu überwachen. Die Interessenvertretung sollte deshalb frühzeitig einbezogen werden (zur Bedeutung von „frühzeitig“ siehe die Erläuterung zu OPS.bd.1.A1 Festlegung von Verantwortlichkeiten). Eine Rahmenvereinbarung zum KI-Einsatz kann spätere Einzelfreigaben deutlich vereinfachen.</w:t>
      </w:r>
      <w:r>
        <w:br/>
      </w:r>
      <w:r>
        <w:br/>
      </w:r>
      <w:r>
        <w:rPr>
          <w:b/>
        </w:rPr>
        <w:t xml:space="preserve">Hinweis für Unternehmen: </w:t>
      </w:r>
      <w:r>
        <w:t>Maßgeblich sind insbesondere § 87 Abs. 1 Nr. 6 BetrVG sowie die Unterrichtungs- und Beratungsrechte nach § 90 Abs. 1 Nr. 3 BetrVG, der den Einsatz von KI ausdrücklich nennt.</w:t>
      </w:r>
      <w:r>
        <w:br/>
      </w:r>
      <w:r>
        <w:br/>
      </w:r>
      <w:r>
        <w:rPr>
          <w:b/>
        </w:rPr>
        <w:t xml:space="preserve">Hinweis für öffentliche Stellen: </w:t>
      </w:r>
      <w:r>
        <w:t>Maßgeblich ist das jeweils geltende Personalvertretungsrecht des Bundes oder des Landes, insbesondere die Mitbestimmung bei der Einführung technischer Einrichtungen, die zur Überwachung von Verhalten oder Leistung geeignet sind.</w:t>
      </w:r>
    </w:p>
    <w:p w14:paraId="05425CF4" w14:textId="77777777" w:rsidR="00573E2E" w:rsidRDefault="00000000">
      <w:pPr>
        <w:pStyle w:val="berschrift3"/>
      </w:pPr>
      <w:r>
        <w:t>OPS.bd.1.A4 Festlegung zulässiger Daten und Zwecke (B) [Fachverantwortliche]</w:t>
      </w:r>
    </w:p>
    <w:p w14:paraId="5DF4BE6D" w14:textId="77777777" w:rsidR="00573E2E" w:rsidRDefault="00000000">
      <w:pPr>
        <w:spacing w:after="60"/>
      </w:pPr>
      <w:r>
        <w:t>Für jede freigegebene KI-Anwendung MUSS der zulässige Verwendungszweck festgelegt werden.</w:t>
      </w:r>
    </w:p>
    <w:p w14:paraId="113A47DF" w14:textId="77777777" w:rsidR="00573E2E" w:rsidRDefault="00000000">
      <w:pPr>
        <w:spacing w:after="60"/>
      </w:pPr>
      <w:r>
        <w:t>Für jede freigegebene KI-Anwendung MUSS festgelegt werden, welche Informationen zulässigerweise eingegeben, hochgeladen oder über Anbindungen an Datenbestände und Schnittstellen bereitgestellt werden.</w:t>
      </w:r>
    </w:p>
    <w:p w14:paraId="03E3FB8D" w14:textId="77777777" w:rsidR="00573E2E" w:rsidRDefault="00000000">
      <w:pPr>
        <w:spacing w:after="60"/>
      </w:pPr>
      <w:r>
        <w:t>Unzulässige Informationen MÜSSEN eindeutig benannt werden.</w:t>
      </w:r>
    </w:p>
    <w:p w14:paraId="5C35F2EA" w14:textId="77777777" w:rsidR="00573E2E" w:rsidRDefault="00000000">
      <w:pPr>
        <w:spacing w:after="60"/>
      </w:pPr>
      <w:r>
        <w:t>Die Regelungen MÜSSEN allen Benutzenden bekannt gegeben werden.</w:t>
      </w:r>
    </w:p>
    <w:p w14:paraId="1CB4D8AC" w14:textId="77777777" w:rsidR="00573E2E" w:rsidRDefault="00000000">
      <w:pPr>
        <w:spacing w:after="60"/>
      </w:pPr>
      <w:r>
        <w:t>Falls KI-Funktionen zur Aufzeichnung oder Transkription von Gesprächen genutzt werden, dann MÜSSEN die Beteiligten vorab informiert werden.</w:t>
      </w:r>
    </w:p>
    <w:p w14:paraId="60E8F3E8" w14:textId="77777777" w:rsidR="00573E2E" w:rsidRDefault="00000000">
      <w:pPr>
        <w:spacing w:after="60"/>
      </w:pPr>
      <w:r>
        <w:t>Falls KI-Funktionen zur Aufzeichnung oder Transkription von Gesprächen genutzt werden, dann MÜSSEN erforderliche Einwilligungen vorab eingeholt werden.</w:t>
      </w:r>
    </w:p>
    <w:p w14:paraId="63E1F8AD" w14:textId="77777777" w:rsidR="00573E2E" w:rsidRDefault="00000000">
      <w:pPr>
        <w:pBdr>
          <w:left w:val="single" w:sz="18" w:space="6" w:color="9E9E9E"/>
        </w:pBdr>
        <w:shd w:val="clear" w:color="auto" w:fill="F2F2F2"/>
        <w:spacing w:before="60"/>
        <w:ind w:left="170" w:right="170"/>
      </w:pPr>
      <w:r>
        <w:rPr>
          <w:b/>
        </w:rPr>
        <w:t xml:space="preserve">Erläuterung: </w:t>
      </w:r>
      <w:r>
        <w:t>Verständlich ist ein Ampelprinzip je KI-Anwendung. Grün: öffentliche oder zur Veröffentlichung bestimmte Informationen. Gelb: interne Informationen ohne Personenbezug, nur in vertraglich abgesicherten Anwendungen. Rot: personenbezogene Daten besonderer Kategorien, Berufs-, Steuer-, Sozial-, Dienst- und Geschäftsgeheimnisse sowie Zugangsdaten, nur in ausdrücklich dafür freigegebenen Anwendungen. Besteht bereits eine Klassifizierung von Informationen, sollte daran angeknüpft werden. Das bloße Entfernen von Namen reicht oft nicht aus, da Personen über den Kontext identifizierbar bleiben. Die Regelungen sollten kurz und praxisnah sein, etwa als Merkblatt oder als Hinweis beim Aufruf der Anwendung. Im Rahmen der Standard-Absicherung gehen sie in die KI-Richtlinie ein (siehe OPS.bd.1.A13 Erstellung eines KI-Konzepts und einer KI-Richtlinie).</w:t>
      </w:r>
      <w:r>
        <w:br/>
      </w:r>
      <w:r>
        <w:br/>
        <w:t>Die unbefugte Tonaufnahme des nichtöffentlich gesprochenen Wortes eines anderen kann nach § 201 StGB strafbar sein. Bei Aufzeichnungs- und Transkriptionsfunktionen sind deshalb die konkrete technische Verarbeitung, die erforderlichen Befugnisse oder Einwilligungen und die datenschutzrechtlichen Voraussetzungen vorab zu klären. Weitere Regelungen zu KI in Besprechungen enthält OPS.bd.1.A17 Regelung des KI-Einsatzes in Besprechungen.</w:t>
      </w:r>
    </w:p>
    <w:p w14:paraId="6F0DE62D" w14:textId="77777777" w:rsidR="00573E2E" w:rsidRDefault="00000000">
      <w:pPr>
        <w:pStyle w:val="berschrift3"/>
      </w:pPr>
      <w:r>
        <w:t>OPS.bd.1.A5 Klärung der rechtlichen und vertraglichen Grundlage – Nutzung (B) [Fachverantwortliche, Datenschutzbeauftragte]</w:t>
      </w:r>
    </w:p>
    <w:p w14:paraId="03444AAE" w14:textId="77777777" w:rsidR="00573E2E" w:rsidRDefault="00000000">
      <w:pPr>
        <w:spacing w:after="60"/>
      </w:pPr>
      <w:r>
        <w:t>Bevor eine KI-Anwendung eines Dritten genutzt wird, MUSS eine geeignete vertragliche Grundlage mit dem Anbieter bestehen.</w:t>
      </w:r>
    </w:p>
    <w:p w14:paraId="6DF1B220" w14:textId="77777777" w:rsidR="00573E2E" w:rsidRDefault="00000000">
      <w:pPr>
        <w:spacing w:after="60"/>
      </w:pPr>
      <w:r>
        <w:lastRenderedPageBreak/>
        <w:t>Falls personenbezogene Daten verarbeitet werden, dann MÜSSEN die datenschutzrechtlichen Rollen der Beteiligten geklärt werden.</w:t>
      </w:r>
    </w:p>
    <w:p w14:paraId="6C4B6950" w14:textId="77777777" w:rsidR="00573E2E" w:rsidRDefault="00000000">
      <w:pPr>
        <w:spacing w:after="60"/>
      </w:pPr>
      <w:r>
        <w:t>Falls personenbezogene Daten verarbeitet werden, dann MÜSSEN die erforderlichen Rechtsgrundlagen und Vereinbarungen vorliegen.</w:t>
      </w:r>
    </w:p>
    <w:p w14:paraId="24142437" w14:textId="77777777" w:rsidR="00573E2E" w:rsidRDefault="00000000">
      <w:pPr>
        <w:spacing w:after="60"/>
      </w:pPr>
      <w:r>
        <w:t>Falls eine Auftragsverarbeitung vorliegt, dann MUSS eine Vereinbarung nach Art. 28 DSGVO bestehen.</w:t>
      </w:r>
    </w:p>
    <w:p w14:paraId="33BE1917" w14:textId="77777777" w:rsidR="00573E2E" w:rsidRDefault="00000000">
      <w:pPr>
        <w:spacing w:after="60"/>
      </w:pPr>
      <w:r>
        <w:t>Falls eine gemeinsame Verantwortlichkeit vorliegt, dann MUSS eine Vereinbarung nach Art. 26 DSGVO bestehen.</w:t>
      </w:r>
    </w:p>
    <w:p w14:paraId="1ED5494B" w14:textId="77777777" w:rsidR="00573E2E" w:rsidRDefault="00000000">
      <w:pPr>
        <w:spacing w:after="60"/>
      </w:pPr>
      <w:r>
        <w:t>Es MUSS vertraglich oder durch Konfiguration sichergestellt werden, dass an den Anbieter übermittelte Daten nicht für das Training oder die Verbesserung von Modellen des Anbieters verwendet werden.</w:t>
      </w:r>
    </w:p>
    <w:p w14:paraId="77699616" w14:textId="77777777" w:rsidR="00573E2E" w:rsidRDefault="00000000">
      <w:pPr>
        <w:spacing w:after="60"/>
      </w:pPr>
      <w:r>
        <w:t>Falls die Institution eine solche Verwendung ausdrücklich zulässt, dann MUSS dies im KI-Register dokumentiert werden.</w:t>
      </w:r>
    </w:p>
    <w:p w14:paraId="28AFD403" w14:textId="77777777" w:rsidR="00573E2E" w:rsidRDefault="00000000">
      <w:pPr>
        <w:spacing w:after="60"/>
      </w:pPr>
      <w:r>
        <w:t>Speicherort, Speicherdauer, Übermittlungen in Drittländer und Unterauftragnehmer MÜSSEN vor der Freigabe bewertet werden.</w:t>
      </w:r>
    </w:p>
    <w:p w14:paraId="7C6540E4" w14:textId="77777777" w:rsidR="00573E2E" w:rsidRDefault="00000000">
      <w:pPr>
        <w:pBdr>
          <w:left w:val="single" w:sz="18" w:space="6" w:color="9E9E9E"/>
        </w:pBdr>
        <w:shd w:val="clear" w:color="auto" w:fill="F2F2F2"/>
        <w:spacing w:before="60"/>
        <w:ind w:left="170" w:right="170"/>
      </w:pPr>
      <w:r>
        <w:rPr>
          <w:b/>
        </w:rPr>
        <w:t xml:space="preserve">Erläuterung: </w:t>
      </w:r>
      <w:r>
        <w:t>Übermittelte Daten sind insbesondere Eingaben, hochgeladene Dateien, Inhalte angebundener Datenbestände und Ergebnisse. Neben der Auftragsverarbeitung kommen eine gemeinsame oder eine getrennte Verantwortlichkeit in Betracht. Unabhängig von der Rollenverteilung müssen die Verarbeitung und gegebenenfalls die Übermittlung personenbezogener Daten rechtlich zulässig sein und angemessene technische und organisatorische Maßnahmen nach Art. 32 DSGVO bestehen. Kostenlose oder private Konten sind für Zwecke der Institution in der Regel ungeeignet: Die Nutzungsbedingungen erlauben dort meist die Verwendung der übermittelten Daten für das Training, ein Vertrag zur Auftragsverarbeitung wird nicht angeboten. Auch bei kostenpflichtigen Geschäftsvarianten sind Vertrag und Voreinstellungen zu prüfen, da sich diese mit Updates ändern können. Bei eingebetteten KI-Funktionen ist zu prüfen, ob der bestehende Vertrag die KI-Funktion abdeckt oder ob diese von einem weiteren Anbieter erbracht wird. Das Ergebnis wird im KI-Register dokumentiert. Wird die KI-Anwendung als Cloud-Dienst bezogen, gelten ergänzend die Anforderungen aus OPS.2.2 Cloud-Nutzung.</w:t>
      </w:r>
    </w:p>
    <w:p w14:paraId="537767CF" w14:textId="77777777" w:rsidR="00573E2E" w:rsidRDefault="00000000">
      <w:pPr>
        <w:pStyle w:val="berschrift3"/>
      </w:pPr>
      <w:r>
        <w:t>OPS.bd.1.A6 Regelung von Benutzerkonten – Nutzung (B) [IT-Betrieb]</w:t>
      </w:r>
    </w:p>
    <w:p w14:paraId="26D64924" w14:textId="77777777" w:rsidR="00573E2E" w:rsidRDefault="00000000">
      <w:pPr>
        <w:spacing w:after="60"/>
      </w:pPr>
      <w:r>
        <w:t>Falls eine KI-Anwendung Benutzerkonten erfordert, dann MÜSSEN für Zwecke der Institution Benutzerkonten genutzt werden, die von der Institution bereitgestellt oder verwaltet werden.</w:t>
      </w:r>
    </w:p>
    <w:p w14:paraId="05C0B4DC" w14:textId="77777777" w:rsidR="00573E2E" w:rsidRDefault="00000000">
      <w:pPr>
        <w:spacing w:after="60"/>
      </w:pPr>
      <w:r>
        <w:t>Private Konten DÜRFEN NICHT für Zwecke der Institution genutzt werden.</w:t>
      </w:r>
    </w:p>
    <w:p w14:paraId="4CE71A09" w14:textId="77777777" w:rsidR="00573E2E" w:rsidRDefault="00000000">
      <w:pPr>
        <w:spacing w:after="60"/>
      </w:pPr>
      <w:r>
        <w:t>Es MUSS geregelt werden, ob und wie E-Mail-Adressen der Institution zur Registrierung bei KI-Anwendungen verwendet werden.</w:t>
      </w:r>
    </w:p>
    <w:p w14:paraId="58DEBB5C" w14:textId="77777777" w:rsidR="00573E2E" w:rsidRDefault="00000000">
      <w:pPr>
        <w:pBdr>
          <w:left w:val="single" w:sz="18" w:space="6" w:color="9E9E9E"/>
        </w:pBdr>
        <w:shd w:val="clear" w:color="auto" w:fill="F2F2F2"/>
        <w:spacing w:before="60"/>
        <w:ind w:left="170" w:right="170"/>
      </w:pPr>
      <w:r>
        <w:rPr>
          <w:b/>
        </w:rPr>
        <w:t xml:space="preserve">Erläuterung: </w:t>
      </w:r>
      <w:r>
        <w:t>Nur bei Konten der Institution greifen die abgeschlossenen Verträge, lassen sich Einstellungen zentral vorgeben und können Konten beim Ausscheiden von Beschäftigten gesperrt werden. Wo möglich, sollte eine zentrale Anmeldung (Single Sign-on) mit Mehr-Faktor-Authentisierung genutzt werden (siehe ORP.4 Identitäts- und Berechtigungsmanagement). Die Registrierung mit einer E-Mail-Adresse der Institution bei nicht freigegebenen Diensten verschleiert Schatten-KI, vergrößert die Angriffsfläche für Phishing und kann ungewollt Vertragsverhältnisse begründen.</w:t>
      </w:r>
    </w:p>
    <w:p w14:paraId="73C6AE6E" w14:textId="77777777" w:rsidR="00573E2E" w:rsidRDefault="00000000">
      <w:pPr>
        <w:pStyle w:val="berschrift3"/>
      </w:pPr>
      <w:r>
        <w:t>OPS.bd.1.A7 Prüfung von Ergebnissen und Sicherstellung menschlicher Entscheidungen (B) [Benutzende, Fachverantwortliche]</w:t>
      </w:r>
    </w:p>
    <w:p w14:paraId="281EB563" w14:textId="77777777" w:rsidR="00573E2E" w:rsidRDefault="00000000">
      <w:pPr>
        <w:spacing w:after="60"/>
      </w:pPr>
      <w:r>
        <w:t>Die Benutzenden MÜSSEN Ergebnisse von KI-Anwendungen vor ihrer Verwendung auf Richtigkeit, Vollständigkeit und Angemessenheit prüfen.</w:t>
      </w:r>
    </w:p>
    <w:p w14:paraId="3D21615E" w14:textId="77777777" w:rsidR="00573E2E" w:rsidRDefault="00000000">
      <w:pPr>
        <w:spacing w:after="60"/>
      </w:pPr>
      <w:r>
        <w:t>Die Verantwortung für verwendete Ergebnisse MUSS bei Menschen verbleiben.</w:t>
      </w:r>
    </w:p>
    <w:p w14:paraId="44A13B26" w14:textId="77777777" w:rsidR="00573E2E" w:rsidRDefault="00000000">
      <w:pPr>
        <w:spacing w:after="60"/>
      </w:pPr>
      <w:r>
        <w:t>Ohne Ausnahme nach Art. 22 Abs. 2 DSGVO DÜRFEN Entscheidungen mit rechtlicher Wirkung oder ähnlich erheblicher Beeinträchtigung für natürliche Personen NICHT ausschließlich auf einer automatisierten Verarbeitung durch KI beruhen.</w:t>
      </w:r>
    </w:p>
    <w:p w14:paraId="7866FF23" w14:textId="77777777" w:rsidR="00573E2E" w:rsidRDefault="00000000">
      <w:pPr>
        <w:spacing w:after="60"/>
      </w:pPr>
      <w:r>
        <w:t>Falls eine solche Ausnahme genutzt wird, dann MÜSSEN die Schutzmaßnahmen nach Art. 22 Abs. 3 DSGVO umgesetzt sein.</w:t>
      </w:r>
    </w:p>
    <w:p w14:paraId="2256D5DB" w14:textId="77777777" w:rsidR="00573E2E" w:rsidRDefault="00000000">
      <w:pPr>
        <w:pBdr>
          <w:left w:val="single" w:sz="18" w:space="6" w:color="9E9E9E"/>
        </w:pBdr>
        <w:shd w:val="clear" w:color="auto" w:fill="F2F2F2"/>
        <w:spacing w:before="60"/>
        <w:ind w:left="170" w:right="170"/>
      </w:pPr>
      <w:r>
        <w:rPr>
          <w:b/>
        </w:rPr>
        <w:t xml:space="preserve">Erläuterung: </w:t>
      </w:r>
      <w:r>
        <w:t xml:space="preserve">Die Prüftiefe richtet sich nach der Verwendung. Bei Ideensammlungen genügt eine Plausibilitätsprüfung, Zahlen, Zitate, Quellen und Rechtsnormen sind dagegen stets an der Originalquelle zu prüfen. Die menschliche Entscheidung muss tatsächlich stattfinden und darf kein formales Abnicken sein. </w:t>
      </w:r>
      <w:r>
        <w:lastRenderedPageBreak/>
        <w:t>Dafür brauchen die Verantwortlichen ausreichend Zeit, Fachwissen und die Befugnis, vom KI-Vorschlag abzuweichen. Ausnahmen bestehen nach Art. 22 Abs. 2 DSGVO nur, wenn die Entscheidung für einen Vertrag erforderlich ist, durch Rechtsvorschrift zugelassen ist oder die betroffene Person ausdrücklich eingewilligt hat. Bei Vertrag und Einwilligung muss die Institution angemessene Maßnahmen treffen, mindestens das Recht auf Eingreifen einer Person, auf Darlegung des eigenen Standpunkts und auf Anfechtung der Entscheidung (Art. 22 Abs. 3 DSGVO).</w:t>
      </w:r>
      <w:r>
        <w:br/>
      </w:r>
      <w:r>
        <w:br/>
      </w:r>
      <w:r>
        <w:rPr>
          <w:b/>
        </w:rPr>
        <w:t xml:space="preserve">Hinweis für öffentliche Stellen: </w:t>
      </w:r>
      <w:r>
        <w:t>Zusätzlich sind die jeweils anwendbaren verwaltungsverfahrensrechtlichen und fachgesetzlichen Vorgaben zum vollständig automatisierten Erlass von Verwaltungsakten zu beachten. § 35a VwVfG des Bundes setzt eine Zulassung durch Rechtsvorschrift voraus und schließt Entscheidungen mit Ermessen oder Beurteilungsspielraum aus. Ob das Verwaltungsverfahrensrecht des jeweiligen Landes eine entsprechende Regelung enthält, ist im Einzelfall zu prüfen. Spezialregelungen mit eigenen Voraussetzungen enthalten insbesondere § 31a SGB X und § 155 Abs. 4 AO. Sie stellen unter anderem darauf ab, ob Anlass besteht, den Einzelfall durch Amtsträger zu bearbeiten.</w:t>
      </w:r>
      <w:r>
        <w:br/>
      </w:r>
      <w:r>
        <w:br/>
      </w:r>
      <w:r>
        <w:rPr>
          <w:b/>
        </w:rPr>
        <w:t xml:space="preserve">Hinweis für Unternehmen: </w:t>
      </w:r>
      <w:r>
        <w:t>Besonders sensibel sind KI-gestützte Entscheidungen im Personalbereich, etwa bei der Vorauswahl von Bewerbungen, sowie bei Kreditwürdigkeits- oder Vertragsentscheidungen. Zusätzlich sind die Vorgaben des Allgemeinen Gleichbehandlungsgesetzes (AGG) zu beachten.</w:t>
      </w:r>
    </w:p>
    <w:p w14:paraId="7856FADC" w14:textId="77777777" w:rsidR="00573E2E" w:rsidRDefault="00000000">
      <w:pPr>
        <w:pStyle w:val="berschrift3"/>
      </w:pPr>
      <w:r>
        <w:t>OPS.bd.1.A8 Berücksichtigung der KI-Verordnung (B) [Fachverantwortliche]</w:t>
      </w:r>
    </w:p>
    <w:p w14:paraId="3BE2D4FD" w14:textId="77777777" w:rsidR="00573E2E" w:rsidRDefault="00000000">
      <w:pPr>
        <w:spacing w:after="60"/>
      </w:pPr>
      <w:r>
        <w:t>Vor der Freigabe einer KI-Anwendung MUSS geprüft werden, welche Pflichten sich aus der KI-Verordnung für die Institution ergeben.</w:t>
      </w:r>
    </w:p>
    <w:p w14:paraId="0811CC8C" w14:textId="77777777" w:rsidR="00573E2E" w:rsidRDefault="00000000">
      <w:pPr>
        <w:spacing w:after="60"/>
      </w:pPr>
      <w:r>
        <w:t>Die Prüfung nach der KI-Verordnung MUSS mindestens folgende Fragen umfassen:</w:t>
      </w:r>
      <w:r>
        <w:br/>
        <w:t>– Welche Rolle nimmt die Institution ein?</w:t>
      </w:r>
      <w:r>
        <w:br/>
        <w:t>– Liegt eine verbotene Praxis vor?</w:t>
      </w:r>
      <w:r>
        <w:br/>
        <w:t>– Handelt es sich um ein Hochrisiko-KI-System?</w:t>
      </w:r>
      <w:r>
        <w:br/>
        <w:t>– Bestehen Transparenz- oder Kennzeichnungspflichten?</w:t>
      </w:r>
    </w:p>
    <w:p w14:paraId="2DE0DA25" w14:textId="77777777" w:rsidR="00573E2E" w:rsidRDefault="00000000">
      <w:pPr>
        <w:spacing w:after="60"/>
      </w:pPr>
      <w:r>
        <w:t>Verbotene Praktiken nach Art. 5 KI-VO DÜRFEN NICHT eingesetzt werden.</w:t>
      </w:r>
    </w:p>
    <w:p w14:paraId="261D9BA1" w14:textId="77777777" w:rsidR="00573E2E" w:rsidRDefault="00000000">
      <w:pPr>
        <w:spacing w:after="60"/>
      </w:pPr>
      <w:r>
        <w:t>Bestehende Transparenz- und Kennzeichnungspflichten MÜSSEN erfüllt werden.</w:t>
      </w:r>
    </w:p>
    <w:p w14:paraId="58E82F53" w14:textId="77777777" w:rsidR="00573E2E" w:rsidRDefault="00000000">
      <w:pPr>
        <w:spacing w:after="60"/>
      </w:pPr>
      <w:r>
        <w:t>Das Ergebnis der Prüfung MUSS im KI-Register dokumentiert werden.</w:t>
      </w:r>
    </w:p>
    <w:p w14:paraId="5E6C7A10" w14:textId="77777777" w:rsidR="00573E2E" w:rsidRDefault="00000000">
      <w:pPr>
        <w:pBdr>
          <w:left w:val="single" w:sz="18" w:space="6" w:color="9E9E9E"/>
        </w:pBdr>
        <w:shd w:val="clear" w:color="auto" w:fill="F2F2F2"/>
        <w:spacing w:before="60"/>
        <w:ind w:left="170" w:right="170"/>
      </w:pPr>
      <w:r>
        <w:rPr>
          <w:b/>
        </w:rPr>
        <w:t xml:space="preserve">Erläuterung: </w:t>
      </w:r>
      <w:r>
        <w:t>Institutionen, die KI-Anwendungen Dritter einsetzen, sind in der Regel Betreiber im Sinne von Art. 3 Nr. 4 KI-VO. Wer ein KI-System selbst entwickelt oder entwickeln lässt und unter eigenem Namen in Betrieb nimmt, kann auch dann Anbieter im Sinne von Art. 3 Nr. 3 KI-VO sein, wenn das System nur für eigene Zwecke eingesetzt wird. Gleiches kann gelten, wenn ein KI-System wesentlich verändert oder unter eigenem Namen angeboten wird (Art. 25 KI-VO). Bei eigenen Lösungen im Eigenbetrieb ist die Rolle daher stets zu prüfen.</w:t>
      </w:r>
      <w:r>
        <w:br/>
      </w:r>
      <w:r>
        <w:br/>
        <w:t>Die Verbote nach Art. 5 KI-VO gelten seit dem 2. Februar 2025, darunter Social Scoring und die Emotionserkennung am Arbeitsplatz und in Bildungseinrichtungen, vorbehaltlich der Ausnahmen aus medizinischen oder Sicherheitsgründen. Die Verordnung (EU) 2026/1744 (Digital-Omnibus-Verordnung zur KI) hat weitere Verbote aufgenommen, etwa zur Erzeugung nicht einvernehmlicher intimer Darstellungen. Diese gelten ab dem 2. Dezember 2026.</w:t>
      </w:r>
      <w:r>
        <w:br/>
      </w:r>
      <w:r>
        <w:br/>
        <w:t>Die Transparenzpflichten nach Art. 50 KI-VO gelten seit dem 2. August 2026. Sie betreffen insbesondere die Interaktion mit KI-Systemen und bestimmte künstlich erzeugte oder manipulierte Inhalte wie Deepfakes. Für KI-erzeugte Texte, die zur Information der Öffentlichkeit über Angelegenheiten von öffentlichem Interesse veröffentlicht werden, entfällt die Offenlegungspflicht, wenn sie menschlich überprüft oder redaktionell kontrolliert wurden und eine Person die redaktionelle Verantwortung trägt. Eine weitergehende interne Kennzeichnung ist möglich, sollte aber als eigene Regel der Institution erkennbar sein. Bei einem Chatbot auf der eigenen Website sollte die Institution sicherstellen, dass Nutzende erkennbar darauf hingewiesen werden, mit einer KI zu kommunizieren.</w:t>
      </w:r>
      <w:r>
        <w:br/>
      </w:r>
      <w:r>
        <w:br/>
        <w:t xml:space="preserve">Hochrisiko-KI-Systeme nach Art. 6 Abs. 2 in Verbindung mit Anhang III betreffen unter anderem Beschäftigung und Personalmanagement, Bildung, Kreditwürdigkeit sowie den Zugang zu wesentlichen </w:t>
      </w:r>
      <w:r>
        <w:lastRenderedPageBreak/>
        <w:t>öffentlichen Leistungen. Für Betreiber gelten dann die Pflichten aus Art. 26 KI-VO und für bestimmte Betreiber eine Grundrechte-Folgenabschätzung nach Art. 27 KI-VO. Nach der Änderung durch die Verordnung (EU) 2026/1744 gelten diese Pflichten grundsätzlich ab dem 2. Dezember 2027, Übergangsregelungen sind zu beachten. Zentrale Marktüberwachungsbehörde in Deutschland ist nach dem KI-Marktüberwachungs-und-Innovationsförderungs-Gesetz (KI-MIG) vom 22. Juli 2026 die Bundesnetzagentur.</w:t>
      </w:r>
      <w:r>
        <w:br/>
      </w:r>
      <w:r>
        <w:br/>
      </w:r>
      <w:r>
        <w:rPr>
          <w:b/>
        </w:rPr>
        <w:t xml:space="preserve">Hinweis für öffentliche Stellen: </w:t>
      </w:r>
      <w:r>
        <w:t>Für öffentliche Stellen der Länder sind nach § 2 Abs. 6 KI-MIG die nach Landesrecht zuständigen Behörden für die Marktüberwachung zuständig. Gegen Behörden und sonstige öffentliche Stellen im Sinne von § 2 Abs. 1 und 2 BDSG, zu denen auch Gemeinden und Gemeindeverbände zählen, werden in den in § 17 Abs. 2 KI-MIG genannten Fällen keine Geldbußen verhängt. Stellt die Marktüberwachungsbehörde Verstöße einer öffentlichen Stelle fest, unterrichtet sie die zuständige Rechts- oder Fachaufsicht und gibt ihr in der Regel vor Maßnahmen Gelegenheit zur Stellungnahme (§ 9 Abs. 3 KI-MIG).</w:t>
      </w:r>
    </w:p>
    <w:p w14:paraId="02939BC5" w14:textId="77777777" w:rsidR="00573E2E" w:rsidRDefault="00000000">
      <w:pPr>
        <w:pStyle w:val="berschrift3"/>
      </w:pPr>
      <w:r>
        <w:t>OPS.bd.1.A9 Datenschutzrechtliche Bewertung (B) [Datenschutzbeauftragte, Fachverantwortliche]</w:t>
      </w:r>
    </w:p>
    <w:p w14:paraId="73CB93E1" w14:textId="77777777" w:rsidR="00573E2E" w:rsidRDefault="00000000">
      <w:pPr>
        <w:spacing w:after="60"/>
      </w:pPr>
      <w:r>
        <w:t>Falls mit einer KI-Anwendung personenbezogene Daten verarbeitet werden, dann MUSS vor der Freigabe eine datenschutzrechtliche Bewertung erfolgen.</w:t>
      </w:r>
    </w:p>
    <w:p w14:paraId="63F50B3C" w14:textId="77777777" w:rsidR="00573E2E" w:rsidRDefault="00000000">
      <w:pPr>
        <w:spacing w:after="60"/>
      </w:pPr>
      <w:r>
        <w:t>Die Datenschutzbeauftragten MÜSSEN frühzeitig eingebunden werden.</w:t>
      </w:r>
    </w:p>
    <w:p w14:paraId="4ABCEE2A" w14:textId="77777777" w:rsidR="00573E2E" w:rsidRDefault="00000000">
      <w:pPr>
        <w:spacing w:after="60"/>
      </w:pPr>
      <w:r>
        <w:t>Zweck, Rechtsgrundlage, Datenkategorien, Empfänger und Speicherdauer MÜSSEN dokumentiert werden.</w:t>
      </w:r>
    </w:p>
    <w:p w14:paraId="4D099447" w14:textId="77777777" w:rsidR="00573E2E" w:rsidRDefault="00000000">
      <w:pPr>
        <w:spacing w:after="60"/>
      </w:pPr>
      <w:r>
        <w:t>Es MUSS geprüft werden, ob eine Datenschutz-Folgenabschätzung erforderlich ist.</w:t>
      </w:r>
    </w:p>
    <w:p w14:paraId="038A4B87" w14:textId="77777777" w:rsidR="00573E2E" w:rsidRDefault="00000000">
      <w:pPr>
        <w:spacing w:after="60"/>
      </w:pPr>
      <w:r>
        <w:t>Es MUSS sichergestellt werden, dass die Rechte der betroffenen Personen umsetzbar sind.</w:t>
      </w:r>
    </w:p>
    <w:p w14:paraId="6B802473" w14:textId="77777777" w:rsidR="00573E2E" w:rsidRDefault="00000000">
      <w:pPr>
        <w:pBdr>
          <w:left w:val="single" w:sz="18" w:space="6" w:color="9E9E9E"/>
        </w:pBdr>
        <w:shd w:val="clear" w:color="auto" w:fill="F2F2F2"/>
        <w:spacing w:before="60"/>
        <w:ind w:left="170" w:right="170"/>
      </w:pPr>
      <w:r>
        <w:rPr>
          <w:b/>
        </w:rPr>
        <w:t xml:space="preserve">Erläuterung: </w:t>
      </w:r>
      <w:r>
        <w:t>Die Verarbeitung ist in das Verzeichnis der Verarbeitungstätigkeiten nach Art. 30 DSGVO aufzunehmen. Eine Datenschutz-Folgenabschätzung nach Art. 35 DSGVO ist erforderlich, wenn die konkrete Verarbeitung voraussichtlich ein hohes Risiko für die Rechte und Freiheiten natürlicher Personen zur Folge hat. Der Einsatz neuer Technologien ist dabei besonders zu berücksichtigen, beim Einsatz von KI ist eine Folgenabschätzung daher häufig angezeigt. Die Umsetzung von Auskunfts- und Löschrechten ist bei KI-Anwendungen schwierig. Zumindest gespeicherte Eingaben, Ergebnisse und Protokolle müssen auffindbar und löschbar sein. Betroffene Personen sind nach Art. 13 und 14 DSGVO zu informieren. Ergänzend gelten die Anforderungen aus CON.2 Datenschutz. Orientierung bietet etwa die Orientierungshilfe „Künstliche Intelligenz und Datenschutz“ der Datenschutzkonferenz. Zur Bedeutung von „frühzeitig“ siehe die Erläuterung zu OPS.bd.1.A1 Festlegung von Verantwortlichkeiten.</w:t>
      </w:r>
    </w:p>
    <w:p w14:paraId="2E0348A3" w14:textId="77777777" w:rsidR="00573E2E" w:rsidRDefault="00000000">
      <w:pPr>
        <w:pStyle w:val="berschrift3"/>
      </w:pPr>
      <w:r>
        <w:t>OPS.bd.1.A10 Vermittlung grundlegender KI-Kompetenz (B) [Personalabteilung, Fachverantwortliche]</w:t>
      </w:r>
    </w:p>
    <w:p w14:paraId="4F066E9B" w14:textId="77777777" w:rsidR="00573E2E" w:rsidRDefault="00000000">
      <w:pPr>
        <w:spacing w:after="60"/>
      </w:pPr>
      <w:r>
        <w:t>Alle Mitarbeitenden, die KI-Anwendungen nutzen oder über deren Einsatz entscheiden, MÜSSEN über ausreichende KI-Kompetenz verfügen.</w:t>
      </w:r>
    </w:p>
    <w:p w14:paraId="44CDFE89" w14:textId="77777777" w:rsidR="00573E2E" w:rsidRDefault="00000000">
      <w:pPr>
        <w:spacing w:after="60"/>
      </w:pPr>
      <w:r>
        <w:t>Die Benutzenden von KI-Anwendungen MÜSSEN mindestens über folgende Inhalte informiert werden:</w:t>
      </w:r>
      <w:r>
        <w:br/>
        <w:t>– Regelungen der Institution zum KI-Einsatz,</w:t>
      </w:r>
      <w:r>
        <w:br/>
        <w:t>– zulässige Informationen,</w:t>
      </w:r>
      <w:r>
        <w:br/>
        <w:t>– Prüfpflicht für Ergebnisse sowie</w:t>
      </w:r>
      <w:r>
        <w:br/>
        <w:t>– typische Risiken wie fehlerhafte Ergebnisse, Abfluss von Informationen und Deepfakes.</w:t>
      </w:r>
    </w:p>
    <w:p w14:paraId="2DAA9986" w14:textId="77777777" w:rsidR="00573E2E" w:rsidRDefault="00000000">
      <w:pPr>
        <w:spacing w:after="60"/>
      </w:pPr>
      <w:r>
        <w:t>Die durchgeführten Maßnahmen MÜSSEN dokumentiert werden.</w:t>
      </w:r>
    </w:p>
    <w:p w14:paraId="04D075A9" w14:textId="77777777" w:rsidR="00573E2E" w:rsidRDefault="00000000">
      <w:pPr>
        <w:pBdr>
          <w:left w:val="single" w:sz="18" w:space="6" w:color="9E9E9E"/>
        </w:pBdr>
        <w:shd w:val="clear" w:color="auto" w:fill="F2F2F2"/>
        <w:spacing w:before="60"/>
        <w:ind w:left="170" w:right="170"/>
      </w:pPr>
      <w:r>
        <w:rPr>
          <w:b/>
        </w:rPr>
        <w:t xml:space="preserve">Erläuterung: </w:t>
      </w:r>
      <w:r>
        <w:t>Art. 4 KI-VO verpflichtet Anbieter und Betreiber seit dem 2. Februar 2025 zu Maßnahmen für die KI-Kompetenz ihres Personals. In der Fassung der Verordnung (EU) 2026/1744 verlangt Art. 4 KI-VO, die Entwicklung der KI-Kompetenz zu unterstützen, ein bestimmtes Kompetenzniveau muss nicht garantiert werden. Dieser Baustein geht bewusst darüber hinaus, weil ein sicherer KI-Einsatz ohne Grundkenntnisse der Benutzenden nicht möglich ist. Der Umfang richtet sich nach Vorkenntnissen, Einsatzkontext und betroffenen Personen. Ein Zertifikat ist nicht vorgeschrieben, die Dokumentation dient aber als Nachweis. Die Inhalte sollten in die bestehenden Sensibilisierungsmaßnahmen integriert werden (siehe ORP.3 Sensibilisierung und Schulung zur Informationssicherheit) und regelmäßig aufgefrischt werden. Vertiefende Schulungen zu den konkret eingesetzten Anwendungen sind Gegenstand von OPS.bd.1.A20 Anwendungsbezogene Schulung.</w:t>
      </w:r>
    </w:p>
    <w:p w14:paraId="4C3E8EEA" w14:textId="77777777" w:rsidR="00573E2E" w:rsidRDefault="00000000">
      <w:pPr>
        <w:pStyle w:val="berschrift3"/>
      </w:pPr>
      <w:r>
        <w:lastRenderedPageBreak/>
        <w:t>OPS.bd.1.A11 Einbindung in die Behandlung von Sicherheitsvorfällen (B)</w:t>
      </w:r>
    </w:p>
    <w:p w14:paraId="16FD7B88" w14:textId="77777777" w:rsidR="00573E2E" w:rsidRDefault="00000000">
      <w:pPr>
        <w:spacing w:after="60"/>
      </w:pPr>
      <w:r>
        <w:t>KI-spezifische sicherheitsrelevante Ereignisse MÜSSEN in die bestehenden Regelungen zur Behandlung von Sicherheitsvorfällen aufgenommen werden.</w:t>
      </w:r>
    </w:p>
    <w:p w14:paraId="1578BFB0" w14:textId="77777777" w:rsidR="00573E2E" w:rsidRDefault="00000000">
      <w:pPr>
        <w:spacing w:after="60"/>
      </w:pPr>
      <w:r>
        <w:t>Als KI-spezifische Ereignisse MÜSSEN mindestens berücksichtigt werden:</w:t>
      </w:r>
      <w:r>
        <w:br/>
        <w:t>– Eingabe unzulässiger Informationen in KI-Anwendungen,</w:t>
      </w:r>
      <w:r>
        <w:br/>
        <w:t>– Verwendung fehlerhafter KI-Ergebnisse mit Außenwirkung sowie</w:t>
      </w:r>
      <w:r>
        <w:br/>
        <w:t>– Täuschungsversuche mithilfe von Deepfakes.</w:t>
      </w:r>
    </w:p>
    <w:p w14:paraId="545E8E04" w14:textId="77777777" w:rsidR="00573E2E" w:rsidRDefault="00000000">
      <w:pPr>
        <w:spacing w:after="60"/>
      </w:pPr>
      <w:r>
        <w:t>Die Benutzenden MÜSSEN den Meldeweg für KI-spezifische Ereignisse kennen.</w:t>
      </w:r>
    </w:p>
    <w:p w14:paraId="4A7B0971" w14:textId="77777777" w:rsidR="00573E2E" w:rsidRDefault="00000000">
      <w:pPr>
        <w:pBdr>
          <w:left w:val="single" w:sz="18" w:space="6" w:color="9E9E9E"/>
        </w:pBdr>
        <w:shd w:val="clear" w:color="auto" w:fill="F2F2F2"/>
        <w:spacing w:before="60"/>
        <w:ind w:left="170" w:right="170"/>
      </w:pPr>
      <w:r>
        <w:rPr>
          <w:b/>
        </w:rPr>
        <w:t xml:space="preserve">Erläuterung: </w:t>
      </w:r>
      <w:r>
        <w:t>Ein eigener Prozess ist nicht erforderlich. Die Ereignisse werden in die vorhandenen Regelungen aufgenommen (siehe DER.1 Detektion von sicherheitsrelevanten Ereignissen und DER.2.1 Behandlung von Sicherheitsvorfällen). Wurden personenbezogene Daten in eine nicht freigegebene Anwendung eingegeben, ist unverzüglich zu prüfen, ob eine Verletzung des Schutzes personenbezogener Daten vorliegt. Besteht eine Meldepflicht nach Art. 33 DSGVO, muss die Meldung an die Aufsichtsbehörde unverzüglich und möglichst binnen 72 Stunden nach Bekanntwerden erfolgen. Eine schnelle interne Meldung ermöglicht es außerdem, beim Anbieter die Löschung zu verlangen und betroffene Zugangsdaten zu ändern. Mitarbeitende sollten Fehler ohne Angst vor Sanktionen melden können, sonst bleiben Vorfälle unentdeckt.</w:t>
      </w:r>
    </w:p>
    <w:p w14:paraId="6D2613A8" w14:textId="77777777" w:rsidR="00573E2E" w:rsidRDefault="00000000">
      <w:pPr>
        <w:pStyle w:val="berschrift3"/>
      </w:pPr>
      <w:r>
        <w:t>OPS.bd.1.A12 Grundlegende Absicherung – Eigenbetrieb (B) [IT-Betrieb]</w:t>
      </w:r>
    </w:p>
    <w:p w14:paraId="68CD0B8A" w14:textId="77777777" w:rsidR="00573E2E" w:rsidRDefault="00000000">
      <w:pPr>
        <w:spacing w:after="60"/>
      </w:pPr>
      <w:r>
        <w:t>Der IT-Betrieb MUSS eigenbetriebene KI-Systeme in das Sicherheitskonzept einbeziehen.</w:t>
      </w:r>
    </w:p>
    <w:p w14:paraId="1D40A28C" w14:textId="77777777" w:rsidR="00573E2E" w:rsidRDefault="00000000">
      <w:pPr>
        <w:spacing w:after="60"/>
      </w:pPr>
      <w:r>
        <w:t>Eigenbetriebene KI-Systeme MÜSSEN mit den einschlägigen Bausteinen modelliert werden.</w:t>
      </w:r>
    </w:p>
    <w:p w14:paraId="53A8A089" w14:textId="77777777" w:rsidR="00573E2E" w:rsidRDefault="00000000">
      <w:pPr>
        <w:spacing w:after="60"/>
      </w:pPr>
      <w:r>
        <w:t>Der administrative Zugriff auf KI-Systeme MUSS auf berechtigte Personen beschränkt werden.</w:t>
      </w:r>
    </w:p>
    <w:p w14:paraId="07239325" w14:textId="77777777" w:rsidR="00573E2E" w:rsidRDefault="00000000">
      <w:pPr>
        <w:spacing w:after="60"/>
      </w:pPr>
      <w:r>
        <w:t>Der Zugriff auf interne Schnittstellen MUSS auf berechtigte Personen und Systeme beschränkt werden.</w:t>
      </w:r>
    </w:p>
    <w:p w14:paraId="7AD0B114" w14:textId="77777777" w:rsidR="00573E2E" w:rsidRDefault="00000000">
      <w:pPr>
        <w:spacing w:after="60"/>
      </w:pPr>
      <w:r>
        <w:t>Verwaltungsoberflächen und interne Modellschnittstellen DÜRFEN NICHT ohne angemessene Authentisierung aus dem Internet erreichbar sein.</w:t>
      </w:r>
    </w:p>
    <w:p w14:paraId="332646C6" w14:textId="77777777" w:rsidR="00573E2E" w:rsidRDefault="00000000">
      <w:pPr>
        <w:spacing w:after="60"/>
      </w:pPr>
      <w:r>
        <w:t>Falls Benutzungsschnittstellen bewusst öffentlich bereitgestellt werden, dann MÜSSEN sie gegen Missbrauch und unkontrollierte Ressourcennutzung abgesichert werden.</w:t>
      </w:r>
    </w:p>
    <w:p w14:paraId="5E75F32B" w14:textId="77777777" w:rsidR="00573E2E" w:rsidRDefault="00000000">
      <w:pPr>
        <w:spacing w:after="60"/>
      </w:pPr>
      <w:r>
        <w:t>Modelle und zugehörige Software MÜSSEN aus vertrauenswürdigen Quellen bezogen werden.</w:t>
      </w:r>
    </w:p>
    <w:p w14:paraId="6DFE9F45" w14:textId="77777777" w:rsidR="00573E2E" w:rsidRDefault="00000000">
      <w:pPr>
        <w:pBdr>
          <w:left w:val="single" w:sz="18" w:space="6" w:color="9E9E9E"/>
        </w:pBdr>
        <w:shd w:val="clear" w:color="auto" w:fill="F2F2F2"/>
        <w:spacing w:before="60"/>
        <w:ind w:left="170" w:right="170"/>
      </w:pPr>
      <w:r>
        <w:rPr>
          <w:b/>
        </w:rPr>
        <w:t xml:space="preserve">Erläuterung: </w:t>
      </w:r>
      <w:r>
        <w:t>Laufzeitumgebungen für lokale Modelle stellen ihre Schnittstellen häufig standardmäßig ohne Authentisierung bereit. Solche Instanzen werden immer wieder ungeschützt im Internet gefunden. Öffentlich bereitgestellte Benutzungsschnittstellen sind etwa Chatbots für Bürgerinnen und Bürger oder für Kundschaft. Vertrauenswürdige Quellen sind etwa die offiziellen Veröffentlichungen der Modellhersteller. Prüfsummen oder Signaturen sollten geprüft werden. Modellformate, die beim Laden Programmcode ausführen können, sollten vermieden und sichere Formate bevorzugt werden. Für die zugrunde liegende Plattform gelten die Bausteine der Schichten SYS, APP und NET (siehe auch OPS.1.1.3 Patch- und Änderungsmanagement).</w:t>
      </w:r>
    </w:p>
    <w:p w14:paraId="5C31146C" w14:textId="77777777" w:rsidR="00573E2E" w:rsidRDefault="00000000">
      <w:pPr>
        <w:pStyle w:val="berschrift2"/>
      </w:pPr>
      <w:r>
        <w:t>Standard-Anforderungen</w:t>
      </w:r>
    </w:p>
    <w:p w14:paraId="61E964E6" w14:textId="77777777" w:rsidR="00573E2E" w:rsidRDefault="00000000">
      <w:r>
        <w:t>Gemeinsam mit den Basis-Anforderungen entsprechen die folgenden Anforderungen dem Stand der Technik für diesen Baustein. Sie SOLLTEN grundsätzlich erfüllt werden.</w:t>
      </w:r>
    </w:p>
    <w:p w14:paraId="51D0BA73" w14:textId="77777777" w:rsidR="00573E2E" w:rsidRDefault="00000000">
      <w:pPr>
        <w:pStyle w:val="berschrift3"/>
      </w:pPr>
      <w:r>
        <w:t>OPS.bd.1.A13 Erstellung eines KI-Konzepts und einer KI-Richtlinie (S) [Institutionsleitung]</w:t>
      </w:r>
    </w:p>
    <w:p w14:paraId="4F8DA106" w14:textId="77777777" w:rsidR="00573E2E" w:rsidRDefault="00000000">
      <w:pPr>
        <w:spacing w:after="60"/>
      </w:pPr>
      <w:r>
        <w:t>Auf Grundlage der Basis-Anforderungen SOLLTE ein KI-Konzept erstellt werden, das Ziele, Einsatzbereiche und Grenzen des KI-Einsatzes festlegt.</w:t>
      </w:r>
    </w:p>
    <w:p w14:paraId="07673574" w14:textId="77777777" w:rsidR="00573E2E" w:rsidRDefault="00000000">
      <w:pPr>
        <w:spacing w:after="60"/>
      </w:pPr>
      <w:r>
        <w:t>Falls KI-Anwendungen eingesetzt werden, dann MÜSSEN die Regelungen für die Benutzenden in einer KI-Richtlinie zusammengeführt werden.</w:t>
      </w:r>
    </w:p>
    <w:p w14:paraId="1D7A678D" w14:textId="77777777" w:rsidR="00573E2E" w:rsidRDefault="00000000">
      <w:pPr>
        <w:spacing w:after="60"/>
      </w:pPr>
      <w:r>
        <w:t>Die KI-Richtlinie SOLLTE mindestens folgende Inhalte umfassen:</w:t>
      </w:r>
      <w:r>
        <w:br/>
        <w:t>– Verantwortlichkeiten und Ansprechpersonen,</w:t>
      </w:r>
      <w:r>
        <w:br/>
        <w:t>– Freigabeverfahren,</w:t>
      </w:r>
      <w:r>
        <w:br/>
        <w:t>– freigegebene und untersagte KI-Anwendungen,</w:t>
      </w:r>
      <w:r>
        <w:br/>
        <w:t>– zulässige Informationen und Zwecke,</w:t>
      </w:r>
      <w:r>
        <w:br/>
        <w:t>– Regelungen zu Benutzerkonten,</w:t>
      </w:r>
      <w:r>
        <w:br/>
        <w:t>– Prüfpflicht für Ergebnisse,</w:t>
      </w:r>
      <w:r>
        <w:br/>
      </w:r>
      <w:r>
        <w:lastRenderedPageBreak/>
        <w:t>– Kennzeichnungspflichten sowie</w:t>
      </w:r>
      <w:r>
        <w:br/>
        <w:t>– Meldewege.</w:t>
      </w:r>
    </w:p>
    <w:p w14:paraId="7BE35FD7" w14:textId="77777777" w:rsidR="00573E2E" w:rsidRDefault="00000000">
      <w:pPr>
        <w:spacing w:after="60"/>
      </w:pPr>
      <w:r>
        <w:t>Falls eine KI-Richtlinie erstellt wurde, dann MUSS die Institutionsleitung sie verbindlich in Kraft setzen.</w:t>
      </w:r>
    </w:p>
    <w:p w14:paraId="5CE0B038" w14:textId="77777777" w:rsidR="00573E2E" w:rsidRDefault="00000000">
      <w:pPr>
        <w:spacing w:after="60"/>
      </w:pPr>
      <w:r>
        <w:t>Falls die KI-Richtlinie in Kraft gesetzt wurde, dann MUSS sie allen Benutzenden bekannt gegeben werden.</w:t>
      </w:r>
    </w:p>
    <w:p w14:paraId="32D52A96" w14:textId="77777777" w:rsidR="00573E2E" w:rsidRDefault="00000000">
      <w:pPr>
        <w:spacing w:after="60"/>
      </w:pPr>
      <w:r>
        <w:t>Die KI-Richtlinie SOLLTE regelmäßig überprüft werden.</w:t>
      </w:r>
    </w:p>
    <w:p w14:paraId="36CF98F4" w14:textId="77777777" w:rsidR="00573E2E" w:rsidRDefault="00000000">
      <w:pPr>
        <w:pBdr>
          <w:left w:val="single" w:sz="18" w:space="6" w:color="9E9E9E"/>
        </w:pBdr>
        <w:shd w:val="clear" w:color="auto" w:fill="F2F2F2"/>
        <w:spacing w:before="60"/>
        <w:ind w:left="170" w:right="170"/>
      </w:pPr>
      <w:r>
        <w:rPr>
          <w:b/>
        </w:rPr>
        <w:t xml:space="preserve">Erläuterung: </w:t>
      </w:r>
      <w:r>
        <w:t>Das KI-Konzept beantwortet die strategischen Fragen: wofür KI eingesetzt werden soll, wo bewusst nicht und wie der KI-Einsatz mit dem ISMS und einer gegebenenfalls vorhandenen Digitalstrategie zusammenhängt. Die KI-Richtlinie richtet sich an alle Benutzenden und sollte kurz und verständlich sein. Die Liste der freigegebenen Anwendungen wird am besten als Anlage geführt, damit sie ohne Änderung der Richtlinie aktualisiert werden kann. Die KI-Richtlinie ergänzt bestehende Regelungen zur IT-Nutzung und zum Datenschutz, Widersprüche zu diesen sind zu vermeiden. Die Kenntnisnahme durch die Benutzenden sollte dokumentiert werden.</w:t>
      </w:r>
    </w:p>
    <w:p w14:paraId="552BA806" w14:textId="77777777" w:rsidR="00573E2E" w:rsidRDefault="00000000">
      <w:pPr>
        <w:pStyle w:val="berschrift3"/>
      </w:pPr>
      <w:r>
        <w:t>OPS.bd.1.A14 Vertiefte Bewertung der Anbieter – Nutzung (S) [Fachverantwortliche]</w:t>
      </w:r>
    </w:p>
    <w:p w14:paraId="06D9D0CA" w14:textId="77777777" w:rsidR="00573E2E" w:rsidRDefault="00000000">
      <w:pPr>
        <w:spacing w:after="60"/>
      </w:pPr>
      <w:r>
        <w:t>Falls eine KI-Anwendung eines Dritten freigegeben werden soll, dann MUSS der Anbieter vorher hinsichtlich der Informationssicherheit bewertet werden.</w:t>
      </w:r>
    </w:p>
    <w:p w14:paraId="6D2B8A5B" w14:textId="77777777" w:rsidR="00573E2E" w:rsidRDefault="00000000">
      <w:pPr>
        <w:spacing w:after="60"/>
      </w:pPr>
      <w:r>
        <w:t>Die Bewertung der Anbieter SOLLTE regelmäßig wiederholt werden.</w:t>
      </w:r>
    </w:p>
    <w:p w14:paraId="3A67AF02" w14:textId="77777777" w:rsidR="00573E2E" w:rsidRDefault="00000000">
      <w:pPr>
        <w:spacing w:after="60"/>
      </w:pPr>
      <w:r>
        <w:t>Die Bewertung der Anbieter SOLLTE mindestens folgende Aspekte umfassen:</w:t>
      </w:r>
      <w:r>
        <w:br/>
        <w:t>– vorliegende Nachweise wie Zertifizierungen oder Testate,</w:t>
      </w:r>
      <w:r>
        <w:br/>
        <w:t>– eingesetzte Unterauftragnehmer und deren Änderungen,</w:t>
      </w:r>
      <w:r>
        <w:br/>
        <w:t>– Umgang mit Sicherheitsvorfällen einschließlich Benachrichtigungspflichten,</w:t>
      </w:r>
      <w:r>
        <w:br/>
        <w:t>– Regelungen zu Kündigung, Datenrückgabe und Löschung sowie</w:t>
      </w:r>
      <w:r>
        <w:br/>
        <w:t>– mögliche Zugriffe staatlicher Stellen aus Drittländern.</w:t>
      </w:r>
    </w:p>
    <w:p w14:paraId="36B1B36C" w14:textId="77777777" w:rsidR="00573E2E" w:rsidRDefault="00000000">
      <w:pPr>
        <w:spacing w:after="60"/>
      </w:pPr>
      <w:r>
        <w:t>Falls eine Anbieterbewertung durchgeführt wurde, dann MUSS das Ergebnis im KI-Register dokumentiert werden.</w:t>
      </w:r>
    </w:p>
    <w:p w14:paraId="5A3D0BF3" w14:textId="77777777" w:rsidR="00573E2E" w:rsidRDefault="00000000">
      <w:pPr>
        <w:pBdr>
          <w:left w:val="single" w:sz="18" w:space="6" w:color="9E9E9E"/>
        </w:pBdr>
        <w:shd w:val="clear" w:color="auto" w:fill="F2F2F2"/>
        <w:spacing w:before="60"/>
        <w:ind w:left="170" w:right="170"/>
      </w:pPr>
      <w:r>
        <w:rPr>
          <w:b/>
        </w:rPr>
        <w:t xml:space="preserve">Erläuterung: </w:t>
      </w:r>
      <w:r>
        <w:t>Aussagekräftige Nachweise sind etwa ein Testat nach dem BSI-Kriterienkatalog C5, eine Zertifizierung nach ISO/IEC 27001 und für KI-spezifische Aspekte ein Prüfbericht nach dem BSI-Kriterienkatalog AIC4. Eine Zertifizierung nach ISO/IEC 42001 belegt ein KI-Managementsystem des Anbieters, nicht aber die Sicherheit des konkreten Dienstes. Wichtig ist zu prüfen, ob der Geltungsbereich des Nachweises den genutzten KI-Dienst tatsächlich umfasst. Bei Anbietern mit Sitz außerhalb der EU ist zu bewerten, ob dortige Behörden auf Daten zugreifen können, auch wenn diese in der EU gespeichert werden. Die Prüftiefe sollte sich an der Bedeutung der Anwendung und den verarbeiteten Informationen orientieren.</w:t>
      </w:r>
    </w:p>
    <w:p w14:paraId="730061AF" w14:textId="77777777" w:rsidR="00573E2E" w:rsidRDefault="00000000">
      <w:pPr>
        <w:pStyle w:val="berschrift3"/>
      </w:pPr>
      <w:r>
        <w:t>OPS.bd.1.A15 Bereinigung von Berechtigungen vor der Einführung (S) [IT-Betrieb, Fachverantwortliche]</w:t>
      </w:r>
    </w:p>
    <w:p w14:paraId="70B072CD" w14:textId="77777777" w:rsidR="00573E2E" w:rsidRDefault="00000000">
      <w:pPr>
        <w:spacing w:after="60"/>
      </w:pPr>
      <w:r>
        <w:t>Falls KI-Anwendungen Zugriff auf Datenbestände wie Dateiablagen, Postfächer oder Wissensdatenbanken erhalten sollen, dann MÜSSEN die Zugriffsrechte und Freigaben auf diesen Beständen vorher überprüft werden.</w:t>
      </w:r>
    </w:p>
    <w:p w14:paraId="3C3128D2" w14:textId="77777777" w:rsidR="00573E2E" w:rsidRDefault="00000000">
      <w:pPr>
        <w:spacing w:after="60"/>
      </w:pPr>
      <w:r>
        <w:t>Falls KI-Anwendungen Zugriff auf Datenbestände erhalten sollen, dann MÜSSEN zu weit gefasste Zugriffsrechte und Freigaben vorher bereinigt werden.</w:t>
      </w:r>
    </w:p>
    <w:p w14:paraId="44F7CDFD" w14:textId="77777777" w:rsidR="00573E2E" w:rsidRDefault="00000000">
      <w:pPr>
        <w:spacing w:after="60"/>
      </w:pPr>
      <w:r>
        <w:t>Der Zugriff der KI-Anwendung SOLLTE auf die benötigten Datenbestände beschränkt werden.</w:t>
      </w:r>
    </w:p>
    <w:p w14:paraId="71A64A9C" w14:textId="77777777" w:rsidR="00573E2E" w:rsidRDefault="00000000">
      <w:pPr>
        <w:spacing w:after="60"/>
      </w:pPr>
      <w:r>
        <w:t>Besonders schutzbedürftige Datenbestände SOLLTEN vom Zugriff durch KI-Anwendungen ausgenommen werden.</w:t>
      </w:r>
    </w:p>
    <w:p w14:paraId="13892B80" w14:textId="77777777" w:rsidR="00573E2E" w:rsidRDefault="00000000">
      <w:pPr>
        <w:spacing w:after="60"/>
      </w:pPr>
      <w:r>
        <w:t>Falls eine eigenbetriebene KI-Anwendung auf Datenbestände zugreift, dann MUSS sie die bestehenden Zugriffsrechte der jeweiligen Benutzenden beachten.</w:t>
      </w:r>
    </w:p>
    <w:p w14:paraId="1056857A" w14:textId="77777777" w:rsidR="00573E2E" w:rsidRDefault="00000000">
      <w:pPr>
        <w:pBdr>
          <w:left w:val="single" w:sz="18" w:space="6" w:color="9E9E9E"/>
        </w:pBdr>
        <w:shd w:val="clear" w:color="auto" w:fill="F2F2F2"/>
        <w:spacing w:before="60"/>
        <w:ind w:left="170" w:right="170"/>
      </w:pPr>
      <w:r>
        <w:rPr>
          <w:b/>
        </w:rPr>
        <w:t xml:space="preserve">Erläuterung: </w:t>
      </w:r>
      <w:r>
        <w:t>Typische Altlasten sind Freigaben für alle Beschäftigten, Links ohne Zugriffsbeschränkung und verwaiste Arbeitsbereiche. Was bisher nur schwer zu finden war, liefert ein KI-Assistent auf Nachfrage sofort. Hilfreich sind eine schrittweise Einführung mit einer Pilotgruppe, Auswertungen der Plattform zu weit freigegebenen Inhalten und Vertraulichkeitskennzeichnungen, mit denen sich Bestände ausschließen lassen. Bei eigenen Lösungen mit Wissensquellen (RAG) müssen die Zugriffsrechte bereits bei der Aufnahme der Inhalte übernommen werden, sonst sieht jede Person alles, was im Index liegt. Ergänzend gelten die Anforderungen aus ORP.4 Identitäts- und Berechtigungsmanagement.</w:t>
      </w:r>
    </w:p>
    <w:p w14:paraId="624B40BB" w14:textId="77777777" w:rsidR="00573E2E" w:rsidRDefault="00000000">
      <w:pPr>
        <w:pStyle w:val="berschrift3"/>
      </w:pPr>
      <w:r>
        <w:lastRenderedPageBreak/>
        <w:t>OPS.bd.1.A16 Technische Durchsetzung der Vorgaben (S) [IT-Betrieb]</w:t>
      </w:r>
    </w:p>
    <w:p w14:paraId="7BFF3499" w14:textId="77777777" w:rsidR="00573E2E" w:rsidRDefault="00000000">
      <w:pPr>
        <w:spacing w:after="60"/>
      </w:pPr>
      <w:r>
        <w:t>Der IT-Betrieb SOLLTE die Regelungen zum KI-Einsatz soweit möglich technisch unterstützen.</w:t>
      </w:r>
    </w:p>
    <w:p w14:paraId="0891DCA7" w14:textId="77777777" w:rsidR="00573E2E" w:rsidRDefault="00000000">
      <w:pPr>
        <w:spacing w:after="60"/>
      </w:pPr>
      <w:r>
        <w:t>Der Zugriff auf nicht freigegebene KI-Dienste SOLLTE gesperrt werden, soweit dies verhältnismäßig ist.</w:t>
      </w:r>
    </w:p>
    <w:p w14:paraId="5ECAAAF0" w14:textId="77777777" w:rsidR="00573E2E" w:rsidRDefault="00000000">
      <w:pPr>
        <w:spacing w:after="60"/>
      </w:pPr>
      <w:r>
        <w:t>KI-Funktionen in eingesetzter Software SOLLTEN zentral konfiguriert werden.</w:t>
      </w:r>
    </w:p>
    <w:p w14:paraId="200CA2D7" w14:textId="77777777" w:rsidR="00573E2E" w:rsidRDefault="00000000">
      <w:pPr>
        <w:spacing w:after="60"/>
      </w:pPr>
      <w:r>
        <w:t>Nicht freigegebene KI-Funktionen SOLLTEN deaktiviert werden.</w:t>
      </w:r>
    </w:p>
    <w:p w14:paraId="1FCFC9EE" w14:textId="77777777" w:rsidR="00573E2E" w:rsidRDefault="00000000">
      <w:pPr>
        <w:spacing w:after="60"/>
      </w:pPr>
      <w:r>
        <w:t>Die Installation von KI-Apps und Browser-Erweiterungen SOLLTE eingeschränkt werden.</w:t>
      </w:r>
    </w:p>
    <w:p w14:paraId="01826F4E" w14:textId="77777777" w:rsidR="00573E2E" w:rsidRDefault="00000000">
      <w:pPr>
        <w:spacing w:after="60"/>
      </w:pPr>
      <w:r>
        <w:t>Sicherheitsrelevante Voreinstellungen wie der Ausschluss der Weiterverwendung übermittelter Daten, Speicherdauern und Freigabemöglichkeiten SOLLTEN zentral vorgegeben werden.</w:t>
      </w:r>
    </w:p>
    <w:p w14:paraId="03F4AD86" w14:textId="77777777" w:rsidR="00573E2E" w:rsidRDefault="00000000">
      <w:pPr>
        <w:pBdr>
          <w:left w:val="single" w:sz="18" w:space="6" w:color="9E9E9E"/>
        </w:pBdr>
        <w:shd w:val="clear" w:color="auto" w:fill="F2F2F2"/>
        <w:spacing w:before="60"/>
        <w:ind w:left="170" w:right="170"/>
      </w:pPr>
      <w:r>
        <w:rPr>
          <w:b/>
        </w:rPr>
        <w:t xml:space="preserve">Erläuterung: </w:t>
      </w:r>
      <w:r>
        <w:t>Geeignete Mittel sind Kategorien in Web- und DNS-Filtern, die Verwaltung mobiler Geräte, zentrale Richtlinien in Betriebssystemen, Browsern und Verwaltungsoberflächen der Anbieter. Eine lückenlose Sperrung ist unrealistisch, etwa wegen privater Endgeräte. Ziel ist, Hürden zu schaffen und auf freigegebene Alternativen zu lenken, zum Beispiel mit einer Hinweisseite statt einer bloßen Fehlermeldung. Da Updates neue KI-Funktionen aktivieren können, sind die zentralen Einstellungen regelmäßig zu prüfen (siehe OPS.bd.1.A22 Änderungsmanagement für KI-Anwendungen).</w:t>
      </w:r>
    </w:p>
    <w:p w14:paraId="5CB1AB45" w14:textId="77777777" w:rsidR="00573E2E" w:rsidRDefault="00000000">
      <w:pPr>
        <w:pStyle w:val="berschrift3"/>
      </w:pPr>
      <w:r>
        <w:t>OPS.bd.1.A17 Regelung des KI-Einsatzes in Besprechungen (S) [Fachverantwortliche]</w:t>
      </w:r>
    </w:p>
    <w:p w14:paraId="2704673F" w14:textId="77777777" w:rsidR="00573E2E" w:rsidRDefault="00000000">
      <w:pPr>
        <w:spacing w:after="60"/>
      </w:pPr>
      <w:r>
        <w:t>Es SOLLTE geregelt werden, ob und unter welchen Voraussetzungen KI-Funktionen zur Aufzeichnung, Transkription, Übersetzung oder Zusammenfassung von Besprechungen genutzt werden.</w:t>
      </w:r>
    </w:p>
    <w:p w14:paraId="6EF9B0B4" w14:textId="77777777" w:rsidR="00573E2E" w:rsidRDefault="00000000">
      <w:pPr>
        <w:spacing w:after="60"/>
      </w:pPr>
      <w:r>
        <w:t>Für vertrauliche Besprechungen SOLLTE die Nutzung von KI-Funktionen zur Aufzeichnung, Transkription und Zusammenfassung untersagt werden.</w:t>
      </w:r>
    </w:p>
    <w:p w14:paraId="7BFCDAE7" w14:textId="77777777" w:rsidR="00573E2E" w:rsidRDefault="00000000">
      <w:pPr>
        <w:spacing w:after="60"/>
      </w:pPr>
      <w:r>
        <w:t>KI-Assistenten Dritter, die als eigene Teilnehmende an Besprechungen teilnehmen, SOLLTEN nur nach Prüfung zugelassen werden.</w:t>
      </w:r>
    </w:p>
    <w:p w14:paraId="2E66D751" w14:textId="77777777" w:rsidR="00573E2E" w:rsidRDefault="00000000">
      <w:pPr>
        <w:pBdr>
          <w:left w:val="single" w:sz="18" w:space="6" w:color="9E9E9E"/>
        </w:pBdr>
        <w:shd w:val="clear" w:color="auto" w:fill="F2F2F2"/>
        <w:spacing w:before="60"/>
        <w:ind w:left="170" w:right="170"/>
      </w:pPr>
      <w:r>
        <w:rPr>
          <w:b/>
        </w:rPr>
        <w:t xml:space="preserve">Erläuterung: </w:t>
      </w:r>
      <w:r>
        <w:t>Für die Information der Teilnehmenden und erforderliche Einwilligungen gilt bereits OPS.bd.1.A4 Festlegung zulässiger Daten und Zwecke. Externe Notiz-Assistenten treten Besprechungen häufig automatisch über Kalendereinladungen bei, auch auf Veranlassung externer Teilnehmender. Moderierende sollten daher Warteräume nutzen und unbekannte Teilnehmende entfernen. Besonders schutzbedürftig sind Personalgespräche, Gremiensitzungen und Beratungen, die einem Berufsgeheimnis unterliegen.</w:t>
      </w:r>
      <w:r>
        <w:br/>
      </w:r>
      <w:r>
        <w:br/>
      </w:r>
      <w:r>
        <w:rPr>
          <w:b/>
        </w:rPr>
        <w:t xml:space="preserve">Hinweis für öffentliche Stellen: </w:t>
      </w:r>
      <w:r>
        <w:t>Für nichtöffentliche Sitzungen kommunaler Gremien und anderer Organe gelten zusätzlich die Vorgaben der jeweiligen Kommunalverfassung und Geschäftsordnung.</w:t>
      </w:r>
      <w:r>
        <w:br/>
      </w:r>
      <w:r>
        <w:br/>
      </w:r>
      <w:r>
        <w:rPr>
          <w:b/>
        </w:rPr>
        <w:t xml:space="preserve">Hinweis für Unternehmen: </w:t>
      </w:r>
      <w:r>
        <w:t>Besonders zu schützen sind etwa Sitzungen von Betriebsrat, Aufsichtsrat und Geschäftsführung.</w:t>
      </w:r>
    </w:p>
    <w:p w14:paraId="3A5EFA98" w14:textId="77777777" w:rsidR="00573E2E" w:rsidRDefault="00000000">
      <w:pPr>
        <w:pStyle w:val="berschrift3"/>
      </w:pPr>
      <w:r>
        <w:t>OPS.bd.1.A18 Begrenzung agentischer Funktionen und Schnittstellen (S) [IT-Betrieb, Fachverantwortliche]</w:t>
      </w:r>
    </w:p>
    <w:p w14:paraId="68C06D96" w14:textId="77777777" w:rsidR="00573E2E" w:rsidRDefault="00000000">
      <w:pPr>
        <w:spacing w:after="60"/>
      </w:pPr>
      <w:r>
        <w:t>KI-Anwendungen, die selbstständig Aktionen in anderen Systemen ausführen oder über Schnittstellen auf Daten zugreifen, SOLLTEN nur die minimal erforderlichen Berechtigungen erhalten.</w:t>
      </w:r>
    </w:p>
    <w:p w14:paraId="39390190" w14:textId="77777777" w:rsidR="00573E2E" w:rsidRDefault="00000000">
      <w:pPr>
        <w:spacing w:after="60"/>
      </w:pPr>
      <w:r>
        <w:t>Falls Konnektoren oder Erweiterungen für KI-Anwendungen aktiviert werden sollen, dann MÜSSEN sie vorher freigegeben werden.</w:t>
      </w:r>
    </w:p>
    <w:p w14:paraId="5AFDC4A2" w14:textId="77777777" w:rsidR="00573E2E" w:rsidRDefault="00000000">
      <w:pPr>
        <w:spacing w:after="60"/>
      </w:pPr>
      <w:r>
        <w:t>Falls eine KI-Anwendung Aktionen mit erheblichen Auswirkungen ausführt, dann MÜSSEN diese Aktionen vor ihrer Ausführung von einem Menschen bestätigt werden.</w:t>
      </w:r>
    </w:p>
    <w:p w14:paraId="546D5417" w14:textId="77777777" w:rsidR="00573E2E" w:rsidRDefault="00000000">
      <w:pPr>
        <w:spacing w:after="60"/>
      </w:pPr>
      <w:r>
        <w:t>Die von KI-Anwendungen ausgeführten Aktionen SOLLTEN nachvollziehbar sein.</w:t>
      </w:r>
    </w:p>
    <w:p w14:paraId="013FDD03" w14:textId="77777777" w:rsidR="00573E2E" w:rsidRDefault="00000000">
      <w:pPr>
        <w:pBdr>
          <w:left w:val="single" w:sz="18" w:space="6" w:color="9E9E9E"/>
        </w:pBdr>
        <w:shd w:val="clear" w:color="auto" w:fill="F2F2F2"/>
        <w:spacing w:before="60"/>
        <w:ind w:left="170" w:right="170"/>
      </w:pPr>
      <w:r>
        <w:rPr>
          <w:b/>
        </w:rPr>
        <w:t xml:space="preserve">Erläuterung: </w:t>
      </w:r>
      <w:r>
        <w:t>Aktionen mit erheblichen Auswirkungen sind etwa der Versand an Externe, das Löschen von Daten, Zahlungen oder Änderungen in Fachanwendungen. Für Agenten sollten eigene, eng berechtigte Konten mit kurzlebigen Zugriffstoken verwendet und lesende Zugriffe bevorzugt werden. Besonders riskant ist die Kombination aus Zugriff auf vertrauliche Informationen, Verarbeitung nicht vertrauenswürdiger Inhalte und der Möglichkeit, nach außen zu kommunizieren. Mindestens eines dieser drei Elemente sollte unterbunden werden. Bestätigungsschritte sollten auf wirklich bedeutsame Aktionen beschränkt sein, damit sie nicht zur Routine werden.</w:t>
      </w:r>
    </w:p>
    <w:p w14:paraId="0A0E69BA" w14:textId="77777777" w:rsidR="00573E2E" w:rsidRDefault="00000000">
      <w:pPr>
        <w:pStyle w:val="berschrift3"/>
      </w:pPr>
      <w:r>
        <w:lastRenderedPageBreak/>
        <w:t>OPS.bd.1.A19 Schutz vor Prompt Injection (S) [IT-Betrieb, Benutzende]</w:t>
      </w:r>
    </w:p>
    <w:p w14:paraId="65FAA96F" w14:textId="77777777" w:rsidR="00573E2E" w:rsidRDefault="00000000">
      <w:pPr>
        <w:spacing w:after="60"/>
      </w:pPr>
      <w:r>
        <w:t>Bei der Bewertung von KI-Anwendungen SOLLTE berücksichtigt werden, dass verarbeitete Inhalte versteckte Anweisungen enthalten.</w:t>
      </w:r>
    </w:p>
    <w:p w14:paraId="5C42FAC0" w14:textId="77777777" w:rsidR="00573E2E" w:rsidRDefault="00000000">
      <w:pPr>
        <w:spacing w:after="60"/>
      </w:pPr>
      <w:r>
        <w:t>KI-Anwendungen, die nicht vertrauenswürdige Inhalte wie Webseiten, E-Mails oder Dokumente Externer verarbeiten, SOLLTEN NICHT zugleich weitreichende Berechtigungen besitzen.</w:t>
      </w:r>
    </w:p>
    <w:p w14:paraId="109A7DCE" w14:textId="77777777" w:rsidR="00573E2E" w:rsidRDefault="00000000">
      <w:pPr>
        <w:spacing w:after="60"/>
      </w:pPr>
      <w:r>
        <w:t>Ergebnisse auf Basis nicht vertrauenswürdiger Inhalte SOLLTEN NICHT ungeprüft zu Aktionen führen.</w:t>
      </w:r>
    </w:p>
    <w:p w14:paraId="11D90A73" w14:textId="77777777" w:rsidR="00573E2E" w:rsidRDefault="00000000">
      <w:pPr>
        <w:spacing w:after="60"/>
      </w:pPr>
      <w:r>
        <w:t>Die Benutzenden SOLLTEN für das Risiko von Prompt Injection sensibilisiert werden.</w:t>
      </w:r>
    </w:p>
    <w:p w14:paraId="4E72A39C" w14:textId="77777777" w:rsidR="00573E2E" w:rsidRDefault="00000000">
      <w:pPr>
        <w:spacing w:after="60"/>
      </w:pPr>
      <w:r>
        <w:t>Für eigenbetriebene KI-Systeme SOLLTEN zusätzlich technische Schutzmaßnahmen wie die Trennung von Systemanweisungen und Eingaben sowie Filter für Ein- und Ausgaben eingesetzt werden.</w:t>
      </w:r>
    </w:p>
    <w:p w14:paraId="1EFB7C9A" w14:textId="77777777" w:rsidR="00573E2E" w:rsidRDefault="00000000">
      <w:pPr>
        <w:pBdr>
          <w:left w:val="single" w:sz="18" w:space="6" w:color="9E9E9E"/>
        </w:pBdr>
        <w:shd w:val="clear" w:color="auto" w:fill="F2F2F2"/>
        <w:spacing w:before="60"/>
        <w:ind w:left="170" w:right="170"/>
      </w:pPr>
      <w:r>
        <w:rPr>
          <w:b/>
        </w:rPr>
        <w:t xml:space="preserve">Erläuterung: </w:t>
      </w:r>
      <w:r>
        <w:t>Beispiele sind eine E-Mail mit unsichtbarem Text, der den KI-Assistenten anweist, Rechnungen an eine fremde Adresse weiterzuleiten, oder eine Webseite, deren versteckte Anweisungen in der Zusammenfassung zu einem Link auf eine Phishing-Seite führen. Filter verringern das Risiko, beseitigen es aber nicht. Die wirksamste Maßnahme ist daher die Begrenzung der Berechtigungen (siehe OPS.bd.1.A18 Begrenzung agentischer Funktionen und Schnittstellen). Ausgaben der KI sollten nicht ungeprüft als Programmcode ausgeführt werden. Das automatische Nachladen externer Inhalte wie Bilder oder Links in Ausgaben sollte unterbunden werden, da es als Kanal für den Datenabfluss missbraucht werden kann.</w:t>
      </w:r>
    </w:p>
    <w:p w14:paraId="30E7ED1F" w14:textId="77777777" w:rsidR="00573E2E" w:rsidRDefault="00000000">
      <w:pPr>
        <w:pStyle w:val="berschrift3"/>
      </w:pPr>
      <w:r>
        <w:t>OPS.bd.1.A20 Anwendungsbezogene Schulung (S) [Personalabteilung, Fachverantwortliche]</w:t>
      </w:r>
    </w:p>
    <w:p w14:paraId="4C809B8C" w14:textId="77777777" w:rsidR="00573E2E" w:rsidRDefault="00000000">
      <w:pPr>
        <w:spacing w:after="60"/>
      </w:pPr>
      <w:r>
        <w:t>Falls Benutzende eine freigegebene KI-Anwendung nutzen sollen, dann MÜSSEN sie vorher in deren sichere Nutzung eingewiesen werden.</w:t>
      </w:r>
    </w:p>
    <w:p w14:paraId="7CDC292A" w14:textId="77777777" w:rsidR="00573E2E" w:rsidRDefault="00000000">
      <w:pPr>
        <w:spacing w:after="60"/>
      </w:pPr>
      <w:r>
        <w:t>Die Einweisung SOLLTE mindestens folgende Inhalte umfassen:</w:t>
      </w:r>
      <w:r>
        <w:br/>
        <w:t>– konkrete Beispiele für zulässige und unzulässige Nutzung,</w:t>
      </w:r>
      <w:r>
        <w:br/>
        <w:t>– Funktionen und Grenzen der Anwendung sowie</w:t>
      </w:r>
      <w:r>
        <w:br/>
        <w:t>– sicherheitsrelevante Einstellungen.</w:t>
      </w:r>
    </w:p>
    <w:p w14:paraId="25243243" w14:textId="77777777" w:rsidR="00573E2E" w:rsidRDefault="00000000">
      <w:pPr>
        <w:spacing w:after="60"/>
      </w:pPr>
      <w:r>
        <w:t>Die Inhalte der Einweisung SOLLTEN regelmäßig auf Aktualität geprüft werden.</w:t>
      </w:r>
    </w:p>
    <w:p w14:paraId="78A8ED82" w14:textId="77777777" w:rsidR="00573E2E" w:rsidRDefault="00000000">
      <w:pPr>
        <w:spacing w:after="60"/>
      </w:pPr>
      <w:r>
        <w:t>Die Inhalte der Einweisung SOLLTEN bei neuen Funktionen oder Risiken angepasst werden.</w:t>
      </w:r>
    </w:p>
    <w:p w14:paraId="03AC84C6" w14:textId="77777777" w:rsidR="00573E2E" w:rsidRDefault="00000000">
      <w:pPr>
        <w:pBdr>
          <w:left w:val="single" w:sz="18" w:space="6" w:color="9E9E9E"/>
        </w:pBdr>
        <w:shd w:val="clear" w:color="auto" w:fill="F2F2F2"/>
        <w:spacing w:before="60"/>
        <w:ind w:left="170" w:right="170"/>
      </w:pPr>
      <w:r>
        <w:rPr>
          <w:b/>
        </w:rPr>
        <w:t xml:space="preserve">Erläuterung: </w:t>
      </w:r>
      <w:r>
        <w:t>Kurze, praxisnahe Formate mit Beispielen aus der eigenen Institution wirken besser als allgemeine Vorträge. Vorgefertigte Standardschulungen decken die konkret eingesetzten Anwendungen und die eigenen Regelungen meist nicht ab und sollten entsprechend ergänzt werden. Bewährt haben sich Ansprechpersonen in den Fachbereichen, die als Multiplikatoren wirken. Auch die Institutionsleitung sollte einbezogen werden, da sie über den KI-Einsatz entscheidet.</w:t>
      </w:r>
    </w:p>
    <w:p w14:paraId="0C6E4CAA" w14:textId="77777777" w:rsidR="00573E2E" w:rsidRDefault="00000000">
      <w:pPr>
        <w:pStyle w:val="berschrift3"/>
      </w:pPr>
      <w:r>
        <w:t>OPS.bd.1.A21 Festlegung von Verifikationsverfahren gegen Deepfakes (S) [Institutionsleitung, Fachverantwortliche]</w:t>
      </w:r>
    </w:p>
    <w:p w14:paraId="7E7FDA17" w14:textId="77777777" w:rsidR="00573E2E" w:rsidRDefault="00000000">
      <w:pPr>
        <w:spacing w:after="60"/>
      </w:pPr>
      <w:r>
        <w:t>Falls Abläufe mit erhöhtem Täuschungsrisiko bestehen, dann MÜSSEN Verfahren zur Überprüfung der Identität festgelegt werden.</w:t>
      </w:r>
    </w:p>
    <w:p w14:paraId="09DE9760" w14:textId="77777777" w:rsidR="00573E2E" w:rsidRDefault="00000000">
      <w:pPr>
        <w:spacing w:after="60"/>
      </w:pPr>
      <w:r>
        <w:t>Die Verfahren zur Überprüfung der Identität SOLLTEN NICHT allein auf Stimme, Bild oder Absenderangabe beruhen.</w:t>
      </w:r>
    </w:p>
    <w:p w14:paraId="3B61EA75" w14:textId="77777777" w:rsidR="00573E2E" w:rsidRDefault="00000000">
      <w:pPr>
        <w:spacing w:after="60"/>
      </w:pPr>
      <w:r>
        <w:t>Ungewöhnliche Anweisungen per Telefon, Video oder Nachricht SOLLTEN über einen unabhängigen, bekannten Kanal bestätigt werden.</w:t>
      </w:r>
    </w:p>
    <w:p w14:paraId="366C6744" w14:textId="77777777" w:rsidR="00573E2E" w:rsidRDefault="00000000">
      <w:pPr>
        <w:spacing w:after="60"/>
      </w:pPr>
      <w:r>
        <w:t>Die Mitarbeitenden SOLLTEN die Verifikationsverfahren kennen.</w:t>
      </w:r>
    </w:p>
    <w:p w14:paraId="77C27098" w14:textId="77777777" w:rsidR="00573E2E" w:rsidRDefault="00000000">
      <w:pPr>
        <w:spacing w:after="60"/>
      </w:pPr>
      <w:r>
        <w:t>Die Institutionsleitung SOLLTE die Mitarbeitenden ausdrücklich ermutigen, die Verfahren auch gegenüber Leitungspersonen anzuwenden.</w:t>
      </w:r>
    </w:p>
    <w:p w14:paraId="79666FB3" w14:textId="77777777" w:rsidR="00573E2E" w:rsidRDefault="00000000">
      <w:pPr>
        <w:pBdr>
          <w:left w:val="single" w:sz="18" w:space="6" w:color="9E9E9E"/>
        </w:pBdr>
        <w:shd w:val="clear" w:color="auto" w:fill="F2F2F2"/>
        <w:spacing w:before="60"/>
        <w:ind w:left="170" w:right="170"/>
      </w:pPr>
      <w:r>
        <w:rPr>
          <w:b/>
        </w:rPr>
        <w:t xml:space="preserve">Erläuterung: </w:t>
      </w:r>
      <w:r>
        <w:t>Abläufe mit erhöhtem Täuschungsrisiko sind etwa Zahlungsfreigaben, Änderungen von Bankverbindungen, die Herausgabe vertraulicher Informationen und das Zurücksetzen von Zugangsdaten. Bewährt sind Rückrufe an eine Nummer aus dem eigenen Verzeichnis statt aus der Nachricht, das Vier-Augen-Prinzip bei Zahlungen und vereinbarte Kontrollfragen. Zeitdruck und Autorität sind die typischen Hebel solcher Angriffe. Die Leitung sollte deshalb klar erklären, dass Rückfragen erwünscht sind und niemand dafür kritisiert wird. Ergänzend gelten die Anforderungen aus ORP.3 Sensibilisierung und Schulung zur Informationssicherheit.</w:t>
      </w:r>
    </w:p>
    <w:p w14:paraId="69D82939" w14:textId="77777777" w:rsidR="00573E2E" w:rsidRDefault="00000000">
      <w:pPr>
        <w:pStyle w:val="berschrift3"/>
      </w:pPr>
      <w:r>
        <w:lastRenderedPageBreak/>
        <w:t>OPS.bd.1.A22 Änderungsmanagement für KI-Anwendungen (S) [Fachverantwortliche, IT-Betrieb]</w:t>
      </w:r>
    </w:p>
    <w:p w14:paraId="24B27202" w14:textId="77777777" w:rsidR="00573E2E" w:rsidRDefault="00000000">
      <w:pPr>
        <w:spacing w:after="60"/>
      </w:pPr>
      <w:r>
        <w:t>Änderungen an freigegebenen KI-Anwendungen SOLLTEN systematisch erkannt werden.</w:t>
      </w:r>
    </w:p>
    <w:p w14:paraId="6CCC8BB1" w14:textId="77777777" w:rsidR="00573E2E" w:rsidRDefault="00000000">
      <w:pPr>
        <w:spacing w:after="60"/>
      </w:pPr>
      <w:r>
        <w:t>Erkannte Änderungen SOLLTEN bewertet werden.</w:t>
      </w:r>
    </w:p>
    <w:p w14:paraId="7E1804C0" w14:textId="77777777" w:rsidR="00573E2E" w:rsidRDefault="00000000">
      <w:pPr>
        <w:spacing w:after="60"/>
      </w:pPr>
      <w:r>
        <w:t>Als relevante Änderungen SOLLTEN mindestens neue Funktionen, Modellwechsel, geänderte Voreinstellungen, Nutzungsbedingungen, Verträge und Unterauftragnehmer berücksichtigt werden.</w:t>
      </w:r>
    </w:p>
    <w:p w14:paraId="7A7B38E6" w14:textId="77777777" w:rsidR="00573E2E" w:rsidRDefault="00000000">
      <w:pPr>
        <w:spacing w:after="60"/>
      </w:pPr>
      <w:r>
        <w:t>Falls sich eine freigegebene KI-Anwendung wesentlich ändert, dann MUSS sie erneut bewertet werden.</w:t>
      </w:r>
    </w:p>
    <w:p w14:paraId="6442D932" w14:textId="77777777" w:rsidR="00573E2E" w:rsidRDefault="00000000">
      <w:pPr>
        <w:spacing w:after="60"/>
      </w:pPr>
      <w:r>
        <w:t>Falls die erneute Bewertung wesentlich andere Risiken ergibt, dann MUSS die KI-Anwendung erneut freigegeben werden.</w:t>
      </w:r>
    </w:p>
    <w:p w14:paraId="739346ED" w14:textId="77777777" w:rsidR="00573E2E" w:rsidRDefault="00000000">
      <w:pPr>
        <w:spacing w:after="60"/>
      </w:pPr>
      <w:r>
        <w:t>Das Vorgehen SOLLTE in das bestehende Änderungsmanagement integriert werden.</w:t>
      </w:r>
    </w:p>
    <w:p w14:paraId="7414E449" w14:textId="77777777" w:rsidR="00573E2E" w:rsidRDefault="00000000">
      <w:pPr>
        <w:pBdr>
          <w:left w:val="single" w:sz="18" w:space="6" w:color="9E9E9E"/>
        </w:pBdr>
        <w:shd w:val="clear" w:color="auto" w:fill="F2F2F2"/>
        <w:spacing w:before="60"/>
        <w:ind w:left="170" w:right="170"/>
      </w:pPr>
      <w:r>
        <w:rPr>
          <w:b/>
        </w:rPr>
        <w:t xml:space="preserve">Erläuterung: </w:t>
      </w:r>
      <w:r>
        <w:t>Quellen sind die Nachrichtenbereiche in den Verwaltungsoberflächen der Anbieter, Newsletter, veröffentlichte Roadmaps und Mitteilungen über Vertragsänderungen. Bei Letzteren sind Widerspruchsfristen zu beachten. Die Beobachtung übernimmt sinnvollerweise die für die Anwendung verantwortliche Person (siehe OPS.bd.1.A1 Festlegung von Verantwortlichkeiten). Ergänzend gelten die Anforderungen aus OPS.1.1.3 Patch- und Änderungsmanagement.</w:t>
      </w:r>
    </w:p>
    <w:p w14:paraId="6086BDD4" w14:textId="77777777" w:rsidR="00573E2E" w:rsidRDefault="00000000">
      <w:pPr>
        <w:pStyle w:val="berschrift3"/>
      </w:pPr>
      <w:r>
        <w:t>OPS.bd.1.A23 Regelmäßige Überprüfung (S)</w:t>
      </w:r>
    </w:p>
    <w:p w14:paraId="2C2D4ADA" w14:textId="77777777" w:rsidR="00573E2E" w:rsidRDefault="00000000">
      <w:pPr>
        <w:spacing w:after="60"/>
      </w:pPr>
      <w:r>
        <w:t>Falls KI-Anwendungen freigegeben sind, dann MÜSSEN das KI-Register, die Freigaben und die zugrunde liegenden Bewertungen mindestens jährlich überprüft werden.</w:t>
      </w:r>
    </w:p>
    <w:p w14:paraId="609D690E" w14:textId="77777777" w:rsidR="00573E2E" w:rsidRDefault="00000000">
      <w:pPr>
        <w:spacing w:after="60"/>
      </w:pPr>
      <w:r>
        <w:t>Es SOLLTE regelmäßig kontrolliert werden, ob die Regelungen zum KI-Einsatz eingehalten werden.</w:t>
      </w:r>
    </w:p>
    <w:p w14:paraId="11D43274" w14:textId="77777777" w:rsidR="00573E2E" w:rsidRDefault="00000000">
      <w:pPr>
        <w:spacing w:after="60"/>
      </w:pPr>
      <w:r>
        <w:t>Die Ergebnisse der Überprüfungen SOLLTEN dokumentiert werden.</w:t>
      </w:r>
    </w:p>
    <w:p w14:paraId="14A042FE" w14:textId="77777777" w:rsidR="00573E2E" w:rsidRDefault="00000000">
      <w:pPr>
        <w:spacing w:after="60"/>
      </w:pPr>
      <w:r>
        <w:t>Festgestellte Abweichungen SOLLTEN behandelt werden.</w:t>
      </w:r>
    </w:p>
    <w:p w14:paraId="6336BC40" w14:textId="77777777" w:rsidR="00573E2E" w:rsidRDefault="00000000">
      <w:pPr>
        <w:pBdr>
          <w:left w:val="single" w:sz="18" w:space="6" w:color="9E9E9E"/>
        </w:pBdr>
        <w:shd w:val="clear" w:color="auto" w:fill="F2F2F2"/>
        <w:spacing w:before="60"/>
        <w:ind w:left="170" w:right="170"/>
      </w:pPr>
      <w:r>
        <w:rPr>
          <w:b/>
        </w:rPr>
        <w:t xml:space="preserve">Erläuterung: </w:t>
      </w:r>
      <w:r>
        <w:t>Geeignete Mittel sind Stichproben, Auswertungen von Nutzungsstatistiken, Befragungen und interne Audits. Das KI-Register sollte dabei mit der tatsächlichen Nutzung abgeglichen werden (siehe die Quellen in der Erläuterung zu OPS.bd.1.A2 Bestandsaufnahme und Führung eines KI-Registers). Nicht mehr genutzte Anwendungen sind außer Betrieb zu nehmen, zugehörige Konten zu sperren und Daten beim Anbieter löschen zu lassen. Die Ergebnisse sollten der Institutionsleitung berichtet werden.</w:t>
      </w:r>
    </w:p>
    <w:p w14:paraId="45E0C302" w14:textId="77777777" w:rsidR="00573E2E" w:rsidRDefault="00000000">
      <w:pPr>
        <w:pStyle w:val="berschrift3"/>
      </w:pPr>
      <w:r>
        <w:t>OPS.bd.1.A24 Ausstiegs- und Ausfallvorsorge (S) [Fachverantwortliche]</w:t>
      </w:r>
    </w:p>
    <w:p w14:paraId="5AA602CF" w14:textId="77777777" w:rsidR="00573E2E" w:rsidRDefault="00000000">
      <w:pPr>
        <w:spacing w:after="60"/>
      </w:pPr>
      <w:r>
        <w:t>Für Geschäftsprozesse und Fachaufgaben mit Abhängigkeit von KI-Anwendungen SOLLTE festgelegt werden, wie sie bei einem Ausfall weitergeführt werden.</w:t>
      </w:r>
    </w:p>
    <w:p w14:paraId="2DC6AC4C" w14:textId="77777777" w:rsidR="00573E2E" w:rsidRDefault="00000000">
      <w:pPr>
        <w:spacing w:after="60"/>
      </w:pPr>
      <w:r>
        <w:t>Für KI-Anwendungen SOLLTE eine Ausstiegsstrategie festgelegt werden.</w:t>
      </w:r>
    </w:p>
    <w:p w14:paraId="39CCA512" w14:textId="77777777" w:rsidR="00573E2E" w:rsidRDefault="00000000">
      <w:pPr>
        <w:spacing w:after="60"/>
      </w:pPr>
      <w:r>
        <w:t>Die Ausstiegsstrategie SOLLTE den Export eigener Daten, den Wechsel zu einem anderen Anbieter und die Löschung beim bisherigen Anbieter regeln.</w:t>
      </w:r>
    </w:p>
    <w:p w14:paraId="7AE5659F" w14:textId="77777777" w:rsidR="00573E2E" w:rsidRDefault="00000000">
      <w:pPr>
        <w:pBdr>
          <w:left w:val="single" w:sz="18" w:space="6" w:color="9E9E9E"/>
        </w:pBdr>
        <w:shd w:val="clear" w:color="auto" w:fill="F2F2F2"/>
        <w:spacing w:before="60"/>
        <w:ind w:left="170" w:right="170"/>
      </w:pPr>
      <w:r>
        <w:rPr>
          <w:b/>
        </w:rPr>
        <w:t xml:space="preserve">Erläuterung: </w:t>
      </w:r>
      <w:r>
        <w:t>Eigene Daten sind etwa Wissensbestände, Vorlagen und Konfigurationen. Prozesse sollten auch ohne KI durchführbar bleiben, damit Fachwissen nicht verloren geht. Eigene Wissensbestände und Vorlagen sollten in offenen Formaten vorliegen. Ergänzend gelten die Anforderungen aus DER.4 Notfallmanagement und für Cloud-Dienste aus OPS.2.2 Cloud-Nutzung.</w:t>
      </w:r>
    </w:p>
    <w:p w14:paraId="4D788CE8" w14:textId="77777777" w:rsidR="00573E2E" w:rsidRDefault="00000000">
      <w:pPr>
        <w:pStyle w:val="berschrift3"/>
      </w:pPr>
      <w:r>
        <w:t>OPS.bd.1.A25 Dokumentation – Eigenbetrieb (S) [IT-Betrieb]</w:t>
      </w:r>
    </w:p>
    <w:p w14:paraId="24C27BC5" w14:textId="77777777" w:rsidR="00573E2E" w:rsidRDefault="00000000">
      <w:pPr>
        <w:spacing w:after="60"/>
      </w:pPr>
      <w:r>
        <w:t>Für eigenbetriebene KI-Systeme SOLLTEN mindestens folgende Angaben dokumentiert werden:</w:t>
      </w:r>
      <w:r>
        <w:br/>
        <w:t>– eingesetzte Modelle mit Herkunft, Version und Lizenz,</w:t>
      </w:r>
      <w:r>
        <w:br/>
        <w:t>– Datenquellen für Training, Anpassung und Wissensbasis,</w:t>
      </w:r>
      <w:r>
        <w:br/>
        <w:t>– Konfiguration einschließlich Systemanweisungen, Parametern und Filtern,</w:t>
      </w:r>
      <w:r>
        <w:br/>
        <w:t>– Schnittstellen und angebundene Systeme sowie</w:t>
      </w:r>
      <w:r>
        <w:br/>
        <w:t>– Verantwortlichkeiten.</w:t>
      </w:r>
    </w:p>
    <w:p w14:paraId="54130616" w14:textId="77777777" w:rsidR="00573E2E" w:rsidRDefault="00000000">
      <w:pPr>
        <w:spacing w:after="60"/>
      </w:pPr>
      <w:r>
        <w:t>Die Dokumentation SOLLTE bei Änderungen aktualisiert werden.</w:t>
      </w:r>
    </w:p>
    <w:p w14:paraId="78DD6BCE" w14:textId="77777777" w:rsidR="00573E2E" w:rsidRDefault="00000000">
      <w:pPr>
        <w:spacing w:after="60"/>
      </w:pPr>
      <w:r>
        <w:t>Die Dokumentation SOLLTE versioniert werden.</w:t>
      </w:r>
    </w:p>
    <w:p w14:paraId="617DBAAA" w14:textId="77777777" w:rsidR="00573E2E" w:rsidRDefault="00000000">
      <w:pPr>
        <w:pBdr>
          <w:left w:val="single" w:sz="18" w:space="6" w:color="9E9E9E"/>
        </w:pBdr>
        <w:shd w:val="clear" w:color="auto" w:fill="F2F2F2"/>
        <w:spacing w:before="60"/>
        <w:ind w:left="170" w:right="170"/>
      </w:pPr>
      <w:r>
        <w:rPr>
          <w:b/>
        </w:rPr>
        <w:t xml:space="preserve">Erläuterung: </w:t>
      </w:r>
      <w:r>
        <w:t xml:space="preserve">Die Dokumentation macht Ergebnisse nachvollziehbar und ermöglicht es, einen früheren Stand wiederherzustellen. Sie ist auch Grundlage für die Prüfung von Lizenzbedingungen, da frei verfügbare Modelle teilweise Nutzungsbeschränkungen enthalten. Systemanweisungen sollten wie Programmcode versioniert </w:t>
      </w:r>
      <w:r>
        <w:lastRenderedPageBreak/>
        <w:t>werden. Wird die Institution selbst Anbieter eines KI-Systems, können zusätzliche Dokumentationspflichten nach der KI-Verordnung bestehen.</w:t>
      </w:r>
    </w:p>
    <w:p w14:paraId="2F6EFD20" w14:textId="77777777" w:rsidR="00573E2E" w:rsidRDefault="00000000">
      <w:pPr>
        <w:pStyle w:val="berschrift3"/>
      </w:pPr>
      <w:r>
        <w:t>OPS.bd.1.A26 Protokollierung – Eigenbetrieb (S) [IT-Betrieb, Datenschutzbeauftragte]</w:t>
      </w:r>
    </w:p>
    <w:p w14:paraId="4FF187A5" w14:textId="77777777" w:rsidR="00573E2E" w:rsidRDefault="00000000">
      <w:pPr>
        <w:spacing w:after="60"/>
      </w:pPr>
      <w:r>
        <w:t>Für eigenbetriebene KI-Systeme SOLLTE festgelegt werden, welche Ereignisse protokolliert werden.</w:t>
      </w:r>
    </w:p>
    <w:p w14:paraId="7FEDA8AB" w14:textId="77777777" w:rsidR="00573E2E" w:rsidRDefault="00000000">
      <w:pPr>
        <w:spacing w:after="60"/>
      </w:pPr>
      <w:r>
        <w:t>Anmeldungen, administrative Änderungen, Aufrufe von Schnittstellen und ausgeführte Aktionen SOLLTEN mindestens protokolliert werden.</w:t>
      </w:r>
    </w:p>
    <w:p w14:paraId="5B6C9F41" w14:textId="77777777" w:rsidR="00573E2E" w:rsidRDefault="00000000">
      <w:pPr>
        <w:spacing w:after="60"/>
      </w:pPr>
      <w:r>
        <w:t>Der Umfang der Protokollierung von Eingaben und Ergebnissen SOLLTE unter Einbindung der Datenschutzbeauftragten und der Interessenvertretung festgelegt werden.</w:t>
      </w:r>
    </w:p>
    <w:p w14:paraId="71267978" w14:textId="77777777" w:rsidR="00573E2E" w:rsidRDefault="00000000">
      <w:pPr>
        <w:spacing w:after="60"/>
      </w:pPr>
      <w:r>
        <w:t>Falls Protokolle erstellt werden, dann MÜSSEN sie vor unberechtigtem Zugriff geschützt werden.</w:t>
      </w:r>
    </w:p>
    <w:p w14:paraId="6C0EF045" w14:textId="77777777" w:rsidR="00573E2E" w:rsidRDefault="00000000">
      <w:pPr>
        <w:spacing w:after="60"/>
      </w:pPr>
      <w:r>
        <w:t>Falls Protokolle erstellt werden, dann MÜSSEN sie nach festgelegten Fristen gelöscht werden.</w:t>
      </w:r>
    </w:p>
    <w:p w14:paraId="142474B1" w14:textId="77777777" w:rsidR="00573E2E" w:rsidRDefault="00000000">
      <w:pPr>
        <w:pBdr>
          <w:left w:val="single" w:sz="18" w:space="6" w:color="9E9E9E"/>
        </w:pBdr>
        <w:shd w:val="clear" w:color="auto" w:fill="F2F2F2"/>
        <w:spacing w:before="60"/>
        <w:ind w:left="170" w:right="170"/>
      </w:pPr>
      <w:r>
        <w:rPr>
          <w:b/>
        </w:rPr>
        <w:t xml:space="preserve">Erläuterung: </w:t>
      </w:r>
      <w:r>
        <w:t>Die Protokollierung von Eingaben und Ergebnissen erleichtert die Nachvollziehbarkeit und die Aufklärung von Vorfällen. Zugleich entsteht ein Datenbestand mit vertraulichen Informationen, der zur Leistungs- und Verhaltenskontrolle geeignet ist. Zweck und Zugriff sind deshalb eng festzulegen. Für Hochrisiko-KI-Systeme verlangt Art. 26 Abs. 6 KI-VO von Betreibern ab dem jeweiligen Anwendungsbeginn, automatisch erzeugte Protokolle, soweit diese ihrer Kontrolle unterliegen, mindestens sechs Monate aufzubewahren, sofern andere Rechtsvorschriften nichts anderes vorsehen. Eine allgemeine Mindestaufbewahrung für alle KI-Protokolle folgt daraus nicht. Ergänzend gelten die Anforderungen aus OPS.1.1.5 Protokollierung und DER.1 Detektion von sicherheitsrelevanten Ereignissen.</w:t>
      </w:r>
    </w:p>
    <w:p w14:paraId="559D53E3" w14:textId="77777777" w:rsidR="00573E2E" w:rsidRDefault="00000000">
      <w:pPr>
        <w:pStyle w:val="berschrift3"/>
      </w:pPr>
      <w:r>
        <w:t>OPS.bd.1.A27 Tests vor der Inbetriebnahme – Eigenbetrieb (S) [IT-Betrieb, Fachverantwortliche]</w:t>
      </w:r>
    </w:p>
    <w:p w14:paraId="0FA7FE0A" w14:textId="77777777" w:rsidR="00573E2E" w:rsidRDefault="00000000">
      <w:pPr>
        <w:spacing w:after="60"/>
      </w:pPr>
      <w:r>
        <w:t>Falls ein eigenbetriebenes KI-System in Betrieb genommen oder wesentlich geändert wird, dann MUSS es vorher getestet werden.</w:t>
      </w:r>
    </w:p>
    <w:p w14:paraId="3AC97F8E" w14:textId="77777777" w:rsidR="00573E2E" w:rsidRDefault="00000000">
      <w:pPr>
        <w:spacing w:after="60"/>
      </w:pPr>
      <w:r>
        <w:t>Die Tests SOLLTEN mindestens folgende Aspekte umfassen:</w:t>
      </w:r>
      <w:r>
        <w:br/>
        <w:t>– fachliche Qualität anhand repräsentativer Testfälle,</w:t>
      </w:r>
      <w:r>
        <w:br/>
        <w:t>– Einhaltung der Zugriffsrechte sowie</w:t>
      </w:r>
      <w:r>
        <w:br/>
        <w:t>– Verhalten bei missbräuchlichen Eingaben.</w:t>
      </w:r>
    </w:p>
    <w:p w14:paraId="5F2F2DB8" w14:textId="77777777" w:rsidR="00573E2E" w:rsidRDefault="00000000">
      <w:pPr>
        <w:spacing w:after="60"/>
      </w:pPr>
      <w:r>
        <w:t>Die Testergebnisse SOLLTEN dokumentiert werden.</w:t>
      </w:r>
    </w:p>
    <w:p w14:paraId="2FF9E275" w14:textId="77777777" w:rsidR="00573E2E" w:rsidRDefault="00000000">
      <w:pPr>
        <w:spacing w:after="60"/>
      </w:pPr>
      <w:r>
        <w:t>Für Tests SOLLTEN KEINE produktiven personenbezogenen Daten verwendet werden.</w:t>
      </w:r>
    </w:p>
    <w:p w14:paraId="20716A96" w14:textId="77777777" w:rsidR="00573E2E" w:rsidRDefault="00000000">
      <w:pPr>
        <w:pBdr>
          <w:left w:val="single" w:sz="18" w:space="6" w:color="9E9E9E"/>
        </w:pBdr>
        <w:shd w:val="clear" w:color="auto" w:fill="F2F2F2"/>
        <w:spacing w:before="60"/>
        <w:ind w:left="170" w:right="170"/>
      </w:pPr>
      <w:r>
        <w:rPr>
          <w:b/>
        </w:rPr>
        <w:t xml:space="preserve">Erläuterung: </w:t>
      </w:r>
      <w:r>
        <w:t>Ein Katalog von Testfragen mit bekannten richtigen Antworten dient zugleich als Regressionstest bei Modellwechseln. Der Fachbereich sollte die fachliche Qualität mitbewerten. Die Einhaltung von Zugriffsrechten lässt sich mit Testkonten unterschiedlicher Berechtigung prüfen. Zu missbräuchlichen Eingaben gehören etwa Versuche, Systemanweisungen auszulesen oder Schutzmechanismen zu umgehen. Ergänzend gelten die Anforderungen aus OPS.1.1.6 Software-Tests und -Freigaben.</w:t>
      </w:r>
    </w:p>
    <w:p w14:paraId="3A12CC4B" w14:textId="77777777" w:rsidR="00573E2E" w:rsidRDefault="00000000">
      <w:pPr>
        <w:pStyle w:val="berschrift2"/>
      </w:pPr>
      <w:r>
        <w:t>Anforderungen bei erhöhtem Schutzbedarf</w:t>
      </w:r>
    </w:p>
    <w:p w14:paraId="7E341DE0" w14:textId="77777777" w:rsidR="00573E2E" w:rsidRDefault="00000000">
      <w:r>
        <w:t>Im Folgenden sind für diesen Baustein exemplarische Vorschläge für Anforderungen aufgeführt, die über dasjenige Schutzniveau hinausgehen, das dem Stand der Technik entspricht. Die Vorschläge SOLLTEN bei erhöhtem Schutzbedarf in Betracht gezogen werden. Die konkrete Festlegung erfolgt im Rahmen einer individuellen Risikoanalyse.</w:t>
      </w:r>
    </w:p>
    <w:p w14:paraId="306B2944" w14:textId="77777777" w:rsidR="00573E2E" w:rsidRDefault="00000000">
      <w:pPr>
        <w:pStyle w:val="berschrift3"/>
      </w:pPr>
      <w:r>
        <w:t>OPS.bd.1.A28 Einsatz souveräner oder lokaler Lösungen für vertrauliche Informationen (H) [Institutionsleitung, IT-Betrieb]</w:t>
      </w:r>
    </w:p>
    <w:p w14:paraId="1A1AD82B" w14:textId="77777777" w:rsidR="00573E2E" w:rsidRDefault="00000000">
      <w:pPr>
        <w:spacing w:after="60"/>
      </w:pPr>
      <w:r>
        <w:t>Für Informationen mit hohem Schutzbedarf an Vertraulichkeit SOLLTEN Betriebs- und Vertragsmodelle gewählt werden, bei denen unvertretbare Zugriffsrisiken durch Stellen aus Drittländern ausgeschlossen oder wirksam begrenzt sind.</w:t>
      </w:r>
    </w:p>
    <w:p w14:paraId="12E3A185" w14:textId="77777777" w:rsidR="00573E2E" w:rsidRDefault="00000000">
      <w:pPr>
        <w:spacing w:after="60"/>
      </w:pPr>
      <w:r>
        <w:t>Bei der Auswahl SOLLTEN mindestens Betreiberstruktur, Unterauftragnehmer, Ort der Datenverarbeitung, Administration und mögliche rechtliche Herausgabepflichten bewertet werden. (C)</w:t>
      </w:r>
    </w:p>
    <w:p w14:paraId="41B83220" w14:textId="77777777" w:rsidR="00573E2E" w:rsidRDefault="00000000">
      <w:pPr>
        <w:pBdr>
          <w:left w:val="single" w:sz="18" w:space="6" w:color="9E9E9E"/>
        </w:pBdr>
        <w:shd w:val="clear" w:color="auto" w:fill="F2F2F2"/>
        <w:spacing w:before="60"/>
        <w:ind w:left="170" w:right="170"/>
      </w:pPr>
      <w:r>
        <w:rPr>
          <w:b/>
        </w:rPr>
        <w:t xml:space="preserve">Erläuterung: </w:t>
      </w:r>
      <w:r>
        <w:t xml:space="preserve">Bevorzugte Lösungen sind lokal betriebene Modelle, Angebote kommunaler oder öffentlicher IT-Dienstleister sowie Anbieter ohne Konzernbezug in Drittländer. Weder ein Sitz noch ein Speicherort in der EU ist für sich allein ein ausreichender Nachweis, wenn der Anbieter oder seine Unterauftragnehmer einer </w:t>
      </w:r>
      <w:r>
        <w:lastRenderedPageBreak/>
        <w:t>ausländischen Rechtsordnung unterliegen, die Zugriffe auf Daten erlaubt. Für den Eigenbetrieb sind die zusätzlichen Anforderungen dieses Bausteins zu erfüllen. Ein Abwägungskriterium ist, dass lokale Modelle oft weniger leistungsfähig sind und eigenes Fachwissen für den Betrieb erfordern.</w:t>
      </w:r>
    </w:p>
    <w:p w14:paraId="5267C20D" w14:textId="77777777" w:rsidR="00573E2E" w:rsidRDefault="00000000">
      <w:pPr>
        <w:pStyle w:val="berschrift3"/>
      </w:pPr>
      <w:r>
        <w:t>OPS.bd.1.A29 Überwachung der KI-Nutzung (H) [IT-Betrieb]</w:t>
      </w:r>
    </w:p>
    <w:p w14:paraId="718C510D" w14:textId="77777777" w:rsidR="00573E2E" w:rsidRDefault="00000000">
      <w:pPr>
        <w:spacing w:after="60"/>
      </w:pPr>
      <w:r>
        <w:t>Die Nutzung von KI-Anwendungen SOLLTE überwacht werden, um die Eingabe unzulässiger Informationen und die Nutzung nicht freigegebener Dienste zu erkennen.</w:t>
      </w:r>
    </w:p>
    <w:p w14:paraId="2F0E41E1" w14:textId="77777777" w:rsidR="00573E2E" w:rsidRDefault="00000000">
      <w:pPr>
        <w:spacing w:after="60"/>
      </w:pPr>
      <w:r>
        <w:t>Eingaben in KI-Anwendungen SOLLTEN auf schutzbedürftige Informationen geprüft werden.</w:t>
      </w:r>
    </w:p>
    <w:p w14:paraId="51022CA1" w14:textId="77777777" w:rsidR="00573E2E" w:rsidRDefault="00000000">
      <w:pPr>
        <w:spacing w:after="60"/>
      </w:pPr>
      <w:r>
        <w:t>Eingaben mit unzulässigen Informationen SOLLTEN technisch blockierbar sein.</w:t>
      </w:r>
    </w:p>
    <w:p w14:paraId="5B76F8CC" w14:textId="77777777" w:rsidR="00573E2E" w:rsidRDefault="00000000">
      <w:pPr>
        <w:spacing w:after="60"/>
      </w:pPr>
      <w:r>
        <w:t>Die Überwachung SOLLTE unter Einbindung der Datenschutzbeauftragten und der Interessenvertretung geregelt werden. (C, I)</w:t>
      </w:r>
    </w:p>
    <w:p w14:paraId="7E33A1EB" w14:textId="77777777" w:rsidR="00573E2E" w:rsidRDefault="00000000">
      <w:pPr>
        <w:pBdr>
          <w:left w:val="single" w:sz="18" w:space="6" w:color="9E9E9E"/>
        </w:pBdr>
        <w:shd w:val="clear" w:color="auto" w:fill="F2F2F2"/>
        <w:spacing w:before="60"/>
        <w:ind w:left="170" w:right="170"/>
      </w:pPr>
      <w:r>
        <w:rPr>
          <w:b/>
        </w:rPr>
        <w:t xml:space="preserve">Erläuterung: </w:t>
      </w:r>
      <w:r>
        <w:t>Werkzeuge zur Verhinderung von Datenabfluss (Data Loss Prevention) können Eingaben und hochgeladene Dateien auf Muster wie Personen-, Konto- oder Aktenkennzeichen prüfen. Die Überwachung muss verhältnismäßig sein und darf nicht zu einer anlasslosen Leistungs- und Verhaltenskontrolle führen. Zweck, Umfang, Zugriff auf Ergebnisse und Löschfristen sind vorab festzulegen und transparent zu machen.</w:t>
      </w:r>
    </w:p>
    <w:p w14:paraId="1DD79F39" w14:textId="77777777" w:rsidR="00573E2E" w:rsidRDefault="00000000">
      <w:pPr>
        <w:pStyle w:val="berschrift3"/>
      </w:pPr>
      <w:r>
        <w:t>OPS.bd.1.A30 Anwendung des Vier-Augen-Prinzips bei Außenwirkung (H) [Fachverantwortliche]</w:t>
      </w:r>
    </w:p>
    <w:p w14:paraId="740401EE" w14:textId="77777777" w:rsidR="00573E2E" w:rsidRDefault="00000000">
      <w:pPr>
        <w:spacing w:after="60"/>
      </w:pPr>
      <w:r>
        <w:t>KI-gestützt erstellte Ergebnisse mit Außenwirkung SOLLTEN vor ihrer Verwendung zusätzlich von einer zweiten fachkundigen Person geprüft werden.</w:t>
      </w:r>
    </w:p>
    <w:p w14:paraId="58CAF874" w14:textId="77777777" w:rsidR="00573E2E" w:rsidRDefault="00000000">
      <w:pPr>
        <w:spacing w:after="60"/>
      </w:pPr>
      <w:r>
        <w:t>Die Prüfung durch die zweite Person SOLLTE dokumentiert werden. (I)</w:t>
      </w:r>
    </w:p>
    <w:p w14:paraId="7DAA50AE" w14:textId="77777777" w:rsidR="00573E2E" w:rsidRDefault="00000000">
      <w:pPr>
        <w:pBdr>
          <w:left w:val="single" w:sz="18" w:space="6" w:color="9E9E9E"/>
        </w:pBdr>
        <w:shd w:val="clear" w:color="auto" w:fill="F2F2F2"/>
        <w:spacing w:before="60"/>
        <w:ind w:left="170" w:right="170"/>
      </w:pPr>
      <w:r>
        <w:rPr>
          <w:b/>
        </w:rPr>
        <w:t xml:space="preserve">Erläuterung: </w:t>
      </w:r>
      <w:r>
        <w:t>Ergebnisse mit Außenwirkung sind etwa Bescheide, Verträge, Gutachten, Auskünfte oder Veröffentlichungen. Die zweite Prüfung ergänzt die Prüfpflicht nach OPS.bd.1.A7 Prüfung von Ergebnissen und Sicherstellung menschlicher Entscheidungen dort, wo Fehler erhebliche rechtliche, finanzielle oder reputative Folgen haben. Es sollte festgelegt werden, für welche Arten von Dokumenten das Vier-Augen-Prinzip gilt. Hilfreich ist eine Kennzeichnung im Dokument oder Vorgang, dass KI zur Erstellung verwendet wurde.</w:t>
      </w:r>
    </w:p>
    <w:p w14:paraId="09E61B8D" w14:textId="77777777" w:rsidR="00573E2E" w:rsidRDefault="00000000">
      <w:pPr>
        <w:pStyle w:val="berschrift3"/>
      </w:pPr>
      <w:r>
        <w:t>OPS.bd.1.A31 Sicherstellung der Ausfallsicherheit KI-gestützter Prozesse (H) [Fachverantwortliche, IT-Betrieb]</w:t>
      </w:r>
    </w:p>
    <w:p w14:paraId="5BBB98C2" w14:textId="77777777" w:rsidR="00573E2E" w:rsidRDefault="00000000">
      <w:pPr>
        <w:spacing w:after="60"/>
      </w:pPr>
      <w:r>
        <w:t>Für zeitkritische Geschäftsprozesse oder Fachaufgaben mit Abhängigkeit von KI-Anwendungen SOLLTEN Ausfallalternativen vorgehalten werden.</w:t>
      </w:r>
    </w:p>
    <w:p w14:paraId="46E02E95" w14:textId="77777777" w:rsidR="00573E2E" w:rsidRDefault="00000000">
      <w:pPr>
        <w:spacing w:after="60"/>
      </w:pPr>
      <w:r>
        <w:t>Die Ausfallalternativen SOLLTEN regelmäßig getestet werden. (A)</w:t>
      </w:r>
    </w:p>
    <w:p w14:paraId="2167D762" w14:textId="77777777" w:rsidR="00573E2E" w:rsidRDefault="00000000">
      <w:pPr>
        <w:pBdr>
          <w:left w:val="single" w:sz="18" w:space="6" w:color="9E9E9E"/>
        </w:pBdr>
        <w:shd w:val="clear" w:color="auto" w:fill="F2F2F2"/>
        <w:spacing w:before="60"/>
        <w:ind w:left="170" w:right="170"/>
      </w:pPr>
      <w:r>
        <w:rPr>
          <w:b/>
        </w:rPr>
        <w:t xml:space="preserve">Erläuterung: </w:t>
      </w:r>
      <w:r>
        <w:t>Ausfallalternativen können alternative Anbieter oder Modelle, ein Eigenbetrieb als Rückfallebene oder erprobte manuelle Verfahren sein. Relevant ist dies etwa für KI-gestützte Bürger- oder Kundendialoge, Übersetzungs- und Transkriptionsdienste im Publikumsverkehr oder Assistenzsysteme in zeitkritischen Abläufen. Eine Abstraktionsschicht, über die sich das Modell austauschen lässt, erleichtert den Wechsel. Die Alternativen sind in die Notfallplanung aufzunehmen (siehe DER.4 Notfallmanagement).</w:t>
      </w:r>
    </w:p>
    <w:p w14:paraId="27BE887F" w14:textId="77777777" w:rsidR="00573E2E" w:rsidRDefault="00000000">
      <w:pPr>
        <w:pStyle w:val="berschrift3"/>
      </w:pPr>
      <w:r>
        <w:t>OPS.bd.1.A32 Sicherheitstests gegen KI-spezifische Angriffe – Eigenbetrieb (H) [IT-Betrieb]</w:t>
      </w:r>
    </w:p>
    <w:p w14:paraId="538724F6" w14:textId="77777777" w:rsidR="00573E2E" w:rsidRDefault="00000000">
      <w:pPr>
        <w:spacing w:after="60"/>
      </w:pPr>
      <w:r>
        <w:t>Eigenbetriebene KI-Systeme SOLLTEN regelmäßig und nach wesentlichen Änderungen gezielt auf KI-spezifische Angriffe getestet werden.</w:t>
      </w:r>
    </w:p>
    <w:p w14:paraId="02A1CD62" w14:textId="77777777" w:rsidR="00573E2E" w:rsidRDefault="00000000">
      <w:pPr>
        <w:spacing w:after="60"/>
      </w:pPr>
      <w:r>
        <w:t>Die Tests SOLLTEN mindestens folgende Angriffe umfassen:</w:t>
      </w:r>
      <w:r>
        <w:br/>
        <w:t>– Prompt Injection,</w:t>
      </w:r>
      <w:r>
        <w:br/>
        <w:t>– Auslesen von Systemanweisungen und vertraulichen Wissensbeständen,</w:t>
      </w:r>
      <w:r>
        <w:br/>
        <w:t>– Umgehen von Schutzmechanismen sowie</w:t>
      </w:r>
      <w:r>
        <w:br/>
        <w:t>– Missbrauch angebundener Schnittstellen.</w:t>
      </w:r>
    </w:p>
    <w:p w14:paraId="1450DE2E" w14:textId="77777777" w:rsidR="00573E2E" w:rsidRDefault="00000000">
      <w:pPr>
        <w:spacing w:after="60"/>
      </w:pPr>
      <w:r>
        <w:t>Festgestellte Schwachstellen SOLLTEN behoben werden.</w:t>
      </w:r>
    </w:p>
    <w:p w14:paraId="7D683951" w14:textId="77777777" w:rsidR="00573E2E" w:rsidRDefault="00000000">
      <w:pPr>
        <w:spacing w:after="60"/>
      </w:pPr>
      <w:r>
        <w:t>Die Tests SOLLTEN dokumentiert werden. (C, I)</w:t>
      </w:r>
    </w:p>
    <w:p w14:paraId="226BC885" w14:textId="77777777" w:rsidR="00573E2E" w:rsidRDefault="00000000">
      <w:pPr>
        <w:pBdr>
          <w:left w:val="single" w:sz="18" w:space="6" w:color="9E9E9E"/>
        </w:pBdr>
        <w:shd w:val="clear" w:color="auto" w:fill="F2F2F2"/>
        <w:spacing w:before="60"/>
        <w:ind w:left="170" w:right="170"/>
      </w:pPr>
      <w:r>
        <w:rPr>
          <w:b/>
        </w:rPr>
        <w:t xml:space="preserve">Erläuterung: </w:t>
      </w:r>
      <w:r>
        <w:t>Solche Tests werden auch als Red Teaming bezeichnet. Sie können durch spezialisierte Dienstleister oder mit frei verfügbaren Testwerkzeugen und Angriffskatalogen durchgeführt werden. Orientierung bieten etwa die OWASP Top 10 für Anwendungen mit großen Sprachmodellen. Die Tests ergänzen die allgemeinen Penetrationstests der Plattform.</w:t>
      </w:r>
    </w:p>
    <w:p w14:paraId="1BF865F8" w14:textId="77777777" w:rsidR="00573E2E" w:rsidRDefault="00000000">
      <w:pPr>
        <w:pStyle w:val="berschrift3"/>
      </w:pPr>
      <w:r>
        <w:lastRenderedPageBreak/>
        <w:t>OPS.bd.1.A33 Integritätsschutz von Modellen und Trainingsdaten – Eigenbetrieb (H) [IT-Betrieb]</w:t>
      </w:r>
    </w:p>
    <w:p w14:paraId="236C91CB" w14:textId="77777777" w:rsidR="00573E2E" w:rsidRDefault="00000000">
      <w:pPr>
        <w:spacing w:after="60"/>
      </w:pPr>
      <w:r>
        <w:t>Die Integrität eingesetzter Modelle SOLLTE vor dem Einsatz und regelmäßig im Betrieb geprüft werden.</w:t>
      </w:r>
    </w:p>
    <w:p w14:paraId="1721E327" w14:textId="77777777" w:rsidR="00573E2E" w:rsidRDefault="00000000">
      <w:pPr>
        <w:spacing w:after="60"/>
      </w:pPr>
      <w:r>
        <w:t>Trainings-, Anpassungs- und Wissensdaten SOLLTEN aus geprüften Quellen stammen.</w:t>
      </w:r>
    </w:p>
    <w:p w14:paraId="0A1410CF" w14:textId="77777777" w:rsidR="00573E2E" w:rsidRDefault="00000000">
      <w:pPr>
        <w:spacing w:after="60"/>
      </w:pPr>
      <w:r>
        <w:t>Trainings-, Anpassungs- und Wissensdaten SOLLTEN vor unberechtigter Veränderung geschützt werden.</w:t>
      </w:r>
    </w:p>
    <w:p w14:paraId="3ED58D2C" w14:textId="77777777" w:rsidR="00573E2E" w:rsidRDefault="00000000">
      <w:pPr>
        <w:spacing w:after="60"/>
      </w:pPr>
      <w:r>
        <w:t>Änderungen an Trainings-, Anpassungs- und Wissensdaten SOLLTEN nachvollziehbar sein.</w:t>
      </w:r>
    </w:p>
    <w:p w14:paraId="21959EC3" w14:textId="77777777" w:rsidR="00573E2E" w:rsidRDefault="00000000">
      <w:pPr>
        <w:spacing w:after="60"/>
      </w:pPr>
      <w:r>
        <w:t>Es SOLLTE überwacht werden, ob sich das Verhalten des Systems unerwartet verändert. (I)</w:t>
      </w:r>
    </w:p>
    <w:p w14:paraId="03F86726" w14:textId="77777777" w:rsidR="00573E2E" w:rsidRDefault="00000000">
      <w:pPr>
        <w:pBdr>
          <w:left w:val="single" w:sz="18" w:space="6" w:color="9E9E9E"/>
        </w:pBdr>
        <w:shd w:val="clear" w:color="auto" w:fill="F2F2F2"/>
        <w:spacing w:before="60"/>
        <w:ind w:left="170" w:right="170"/>
      </w:pPr>
      <w:r>
        <w:rPr>
          <w:b/>
        </w:rPr>
        <w:t xml:space="preserve">Erläuterung: </w:t>
      </w:r>
      <w:r>
        <w:t>Die Integrität von Modellen lässt sich etwa anhand von Prüfsummen oder Signaturen prüfen. Manipulierte Modelle oder vergiftete Daten lassen sich im laufenden Betrieb kaum erkennen. Wirksam sind daher vor allem Vorbeugung und Nachvollziehbarkeit: eine Übersicht aller Modellbestandteile und Datenquellen, Schreibschutz für freigegebene Stände und eine Freigabe neuer Wissensinhalte. Der Testkatalog aus OPS.bd.1.A27 Tests vor der Inbetriebnahme – Eigenbetrieb eignet sich, um Verhaltensänderungen frühzeitig zu erkennen.</w:t>
      </w:r>
    </w:p>
    <w:p w14:paraId="6B99DB25" w14:textId="77777777" w:rsidR="00573E2E" w:rsidRDefault="00000000">
      <w:pPr>
        <w:pStyle w:val="berschrift1"/>
      </w:pPr>
      <w:r>
        <w:t>Weiterführende Informationen</w:t>
      </w:r>
    </w:p>
    <w:p w14:paraId="0878F914" w14:textId="77777777" w:rsidR="00573E2E" w:rsidRDefault="00000000">
      <w:r>
        <w:t>Die Quellen sind nach ihrem Status gegliedert. Rechtsvorschriften sind verbindlich, amtliche Veröffentlichungen und Orientierungshilfen sind unverbindliche Empfehlungen.</w:t>
      </w:r>
    </w:p>
    <w:p w14:paraId="23F837A1" w14:textId="77777777" w:rsidR="00573E2E" w:rsidRDefault="00000000">
      <w:r>
        <w:rPr>
          <w:b/>
        </w:rPr>
        <w:t>Rechtsvorschriften</w:t>
      </w:r>
    </w:p>
    <w:p w14:paraId="047ADA48" w14:textId="77777777" w:rsidR="00573E2E" w:rsidRDefault="00000000">
      <w:pPr>
        <w:pStyle w:val="Listenabsatz"/>
      </w:pPr>
      <w:r>
        <w:rPr>
          <w:color w:val="000000"/>
        </w:rPr>
        <w:t xml:space="preserve">Europäische Union, Verordnung (EU) 2024/1689 (KI-Verordnung), </w:t>
      </w:r>
      <w:hyperlink r:id="rId9">
        <w:r w:rsidR="00573E2E">
          <w:rPr>
            <w:color w:val="0563C1"/>
            <w:u w:val="single"/>
          </w:rPr>
          <w:t>https://eur-lex.europa.eu/eli/reg/2024/1689/oj</w:t>
        </w:r>
      </w:hyperlink>
    </w:p>
    <w:p w14:paraId="7814B7DF" w14:textId="77777777" w:rsidR="00573E2E" w:rsidRDefault="00000000">
      <w:pPr>
        <w:pStyle w:val="Listenabsatz"/>
      </w:pPr>
      <w:r>
        <w:rPr>
          <w:color w:val="000000"/>
        </w:rPr>
        <w:t xml:space="preserve">Europäische Union, Verordnung (EU) 2026/1744 (Digital-Omnibus-Verordnung zur KI) vom 8. Juli 2026, in Kraft seit dem 27. Juli 2026, </w:t>
      </w:r>
      <w:hyperlink r:id="rId10">
        <w:r w:rsidR="00573E2E">
          <w:rPr>
            <w:color w:val="0563C1"/>
            <w:u w:val="single"/>
          </w:rPr>
          <w:t>https://eur-lex.europa.eu/legal-content/DE/TXT/HTML/?uri=OJ%3AL_202601744</w:t>
        </w:r>
      </w:hyperlink>
    </w:p>
    <w:p w14:paraId="4DDEDD4C" w14:textId="77777777" w:rsidR="00573E2E" w:rsidRDefault="00000000">
      <w:pPr>
        <w:pStyle w:val="Listenabsatz"/>
      </w:pPr>
      <w:r>
        <w:rPr>
          <w:color w:val="000000"/>
        </w:rPr>
        <w:t xml:space="preserve">Europäische Union, Datenschutz-Grundverordnung (DSGVO), </w:t>
      </w:r>
      <w:hyperlink r:id="rId11">
        <w:r w:rsidR="00573E2E">
          <w:rPr>
            <w:color w:val="0563C1"/>
            <w:u w:val="single"/>
          </w:rPr>
          <w:t>https://eur-lex.europa.eu/eli/reg/2016/679/oj/deu</w:t>
        </w:r>
      </w:hyperlink>
    </w:p>
    <w:p w14:paraId="79DC8D0A" w14:textId="77777777" w:rsidR="00573E2E" w:rsidRDefault="00000000">
      <w:pPr>
        <w:pStyle w:val="Listenabsatz"/>
      </w:pPr>
      <w:r>
        <w:rPr>
          <w:color w:val="000000"/>
        </w:rPr>
        <w:t xml:space="preserve">Bundesrepublik Deutschland, KI-Marktüberwachungs-und-Innovationsförderungs-Gesetz (KI-MIG) vom 22. Juli 2026, BGBl. 2026 I Nr. 223, in Kraft seit dem 29. Juli 2026, </w:t>
      </w:r>
      <w:hyperlink r:id="rId12">
        <w:r w:rsidR="00573E2E">
          <w:rPr>
            <w:color w:val="0563C1"/>
            <w:u w:val="single"/>
          </w:rPr>
          <w:t>https://www.gesetze-im-internet.de/ki-mig/BJNR0DF0B0026.html</w:t>
        </w:r>
      </w:hyperlink>
    </w:p>
    <w:p w14:paraId="1D1BB012" w14:textId="77777777" w:rsidR="00573E2E" w:rsidRDefault="00000000">
      <w:pPr>
        <w:pStyle w:val="Listenabsatz"/>
      </w:pPr>
      <w:r>
        <w:rPr>
          <w:color w:val="000000"/>
        </w:rPr>
        <w:t xml:space="preserve">Bundesrepublik Deutschland, § 35a Verwaltungsverfahrensgesetz (VwVfG), </w:t>
      </w:r>
      <w:hyperlink r:id="rId13">
        <w:r w:rsidR="00573E2E">
          <w:rPr>
            <w:color w:val="0563C1"/>
            <w:u w:val="single"/>
          </w:rPr>
          <w:t>https://www.gesetze-im-internet.de/vwvfg/__35a.html</w:t>
        </w:r>
      </w:hyperlink>
    </w:p>
    <w:p w14:paraId="4A3E6A8B" w14:textId="77777777" w:rsidR="00573E2E" w:rsidRDefault="00000000">
      <w:r>
        <w:rPr>
          <w:b/>
        </w:rPr>
        <w:t>Amtliche Veröffentlichungen des BSI</w:t>
      </w:r>
    </w:p>
    <w:p w14:paraId="578A45B0" w14:textId="77777777" w:rsidR="00573E2E" w:rsidRDefault="00000000">
      <w:pPr>
        <w:pStyle w:val="Listenabsatz"/>
      </w:pPr>
      <w:r>
        <w:rPr>
          <w:color w:val="000000"/>
        </w:rPr>
        <w:t xml:space="preserve">Bundesamt für Sicherheit in der Informationstechnik (BSI), Themenseite Künstliche Intelligenz, </w:t>
      </w:r>
      <w:hyperlink r:id="rId14">
        <w:r w:rsidR="00573E2E">
          <w:rPr>
            <w:color w:val="0563C1"/>
            <w:u w:val="single"/>
          </w:rPr>
          <w:t>https://www.bsi.bund.de/EN/Themen/Unternehmen-und-Organisationen/Informationen-und-Empfehlungen/Kuenstliche-Intelligenz/kuenstliche-intelligenz_node.html</w:t>
        </w:r>
      </w:hyperlink>
    </w:p>
    <w:p w14:paraId="6EA0600E" w14:textId="77777777" w:rsidR="00573E2E" w:rsidRDefault="00000000">
      <w:pPr>
        <w:pStyle w:val="Listenabsatz"/>
      </w:pPr>
      <w:r>
        <w:rPr>
          <w:color w:val="000000"/>
        </w:rPr>
        <w:t xml:space="preserve">BSI, Generative AI Models – Opportunities and Risks for Industry and Authorities, Stand 21.01.2025, fortlaufend aktualisiert, </w:t>
      </w:r>
      <w:hyperlink r:id="rId15">
        <w:r w:rsidR="00573E2E">
          <w:rPr>
            <w:color w:val="0563C1"/>
            <w:u w:val="single"/>
          </w:rPr>
          <w:t>https://www.bsi.bund.de/SharedDocs/Downloads/EN/BSI/KI/Generative_AI_Models.html</w:t>
        </w:r>
      </w:hyperlink>
    </w:p>
    <w:p w14:paraId="1991E13D" w14:textId="77777777" w:rsidR="00573E2E" w:rsidRDefault="00000000">
      <w:pPr>
        <w:pStyle w:val="Listenabsatz"/>
      </w:pPr>
      <w:r>
        <w:rPr>
          <w:color w:val="000000"/>
        </w:rPr>
        <w:t xml:space="preserve">BSI, Kriterienkatalog für die Einbindung extern bereitgestellter generativer KI-Modelle in eigene Anwendungen der Bundesverwaltung, unverbindlich, </w:t>
      </w:r>
      <w:hyperlink r:id="rId16">
        <w:r w:rsidR="00573E2E">
          <w:rPr>
            <w:color w:val="0563C1"/>
            <w:u w:val="single"/>
          </w:rPr>
          <w:t>https://www.bsi.bund.de/SharedDocs/Downloads/DE/BSI/KI/Kriterienkatalog_KI-Modelle_Bundesverwaltung.pdf?__blob=publicationFile&amp;v=3</w:t>
        </w:r>
      </w:hyperlink>
    </w:p>
    <w:p w14:paraId="0C7AA712" w14:textId="77777777" w:rsidR="00573E2E" w:rsidRPr="00376733" w:rsidRDefault="00000000">
      <w:pPr>
        <w:pStyle w:val="Listenabsatz"/>
        <w:rPr>
          <w:lang w:val="it-IT"/>
        </w:rPr>
      </w:pPr>
      <w:r w:rsidRPr="00376733">
        <w:rPr>
          <w:color w:val="000000"/>
          <w:lang w:val="it-IT"/>
        </w:rPr>
        <w:t xml:space="preserve">BSI, AI Cloud Service Compliance Criteria Catalogue (AIC4), Prüfbericht ohne Zertifizierung, </w:t>
      </w:r>
      <w:hyperlink r:id="rId17">
        <w:r w:rsidR="00573E2E" w:rsidRPr="00376733">
          <w:rPr>
            <w:color w:val="0563C1"/>
            <w:u w:val="single"/>
            <w:lang w:val="it-IT"/>
          </w:rPr>
          <w:t>https://www.bsi.bund.de/EN/Themen/Unternehmen-und-Organisationen/Informationen-und-Empfehlungen/Kuenstliche-Intelligenz/AIC4/aic4.html</w:t>
        </w:r>
      </w:hyperlink>
    </w:p>
    <w:p w14:paraId="58682312" w14:textId="77777777" w:rsidR="00573E2E" w:rsidRDefault="00000000">
      <w:pPr>
        <w:pStyle w:val="Listenabsatz"/>
      </w:pPr>
      <w:r>
        <w:rPr>
          <w:color w:val="000000"/>
        </w:rPr>
        <w:lastRenderedPageBreak/>
        <w:t xml:space="preserve">BSI, Deepfakes – Threats and Countermeasures, einzelne Aussagen älteren Datums, </w:t>
      </w:r>
      <w:hyperlink r:id="rId18">
        <w:r w:rsidR="00573E2E">
          <w:rPr>
            <w:color w:val="0563C1"/>
            <w:u w:val="single"/>
          </w:rPr>
          <w:t>https://www.bsi.bund.de/EN/Themen/Unternehmen-und-Organisationen/Informationen-und-Empfehlungen/Kuenstliche-Intelligenz/Deepfakes/deepfakes_node.html</w:t>
        </w:r>
      </w:hyperlink>
    </w:p>
    <w:p w14:paraId="2E1658F5" w14:textId="77777777" w:rsidR="00573E2E" w:rsidRDefault="00000000">
      <w:pPr>
        <w:pStyle w:val="Listenabsatz"/>
      </w:pPr>
      <w:r>
        <w:rPr>
          <w:color w:val="000000"/>
        </w:rPr>
        <w:t xml:space="preserve">BSI, Evasion Attacks on LLMs – Checklist for LLM System Hardening, </w:t>
      </w:r>
      <w:hyperlink r:id="rId19">
        <w:r w:rsidR="00573E2E">
          <w:rPr>
            <w:color w:val="0563C1"/>
            <w:u w:val="single"/>
          </w:rPr>
          <w:t>https://www.bsi.bund.de/SharedDocs/Downloads/EN/BSI/KI/Evasion_Attacks_on_LLMs-Checklist.html</w:t>
        </w:r>
      </w:hyperlink>
    </w:p>
    <w:p w14:paraId="2A5F8CAA" w14:textId="77777777" w:rsidR="00573E2E" w:rsidRDefault="00000000">
      <w:pPr>
        <w:pStyle w:val="Listenabsatz"/>
      </w:pPr>
      <w:r>
        <w:rPr>
          <w:color w:val="000000"/>
        </w:rPr>
        <w:t xml:space="preserve">BSI, Benutzerdefinierte Bausteine mit Vorlage und Autorenrichtlinie, siehe Hilfsmittel zum IT-Grundschutz, </w:t>
      </w:r>
      <w:hyperlink r:id="rId20">
        <w:r w:rsidR="00573E2E">
          <w:rPr>
            <w:color w:val="0563C1"/>
            <w:u w:val="single"/>
          </w:rPr>
          <w:t>https://www.bsi.bund.de/DE/Themen/Unternehmen-und-Organisationen/Standards-und-Zertifizierung/IT-Grundschutz/Hilfsmittel_und_Anwenderbeitraege/Hilfsmittel_von_Anwendern/Benutzerdefinierte-Bausteine/benutzerdefinierte-bausteine_node.html</w:t>
        </w:r>
      </w:hyperlink>
    </w:p>
    <w:p w14:paraId="2EA4318C" w14:textId="77777777" w:rsidR="00573E2E" w:rsidRDefault="00000000">
      <w:r>
        <w:rPr>
          <w:b/>
        </w:rPr>
        <w:t>Orientierungshilfen</w:t>
      </w:r>
    </w:p>
    <w:p w14:paraId="6C0D8EE4" w14:textId="77777777" w:rsidR="00573E2E" w:rsidRDefault="00000000">
      <w:pPr>
        <w:pStyle w:val="Listenabsatz"/>
      </w:pPr>
      <w:r>
        <w:rPr>
          <w:color w:val="000000"/>
        </w:rPr>
        <w:t xml:space="preserve">Datenschutzkonferenz (DSK), Orientierungshilfe Künstliche Intelligenz und Datenschutz, 6. Mai 2024, </w:t>
      </w:r>
      <w:hyperlink r:id="rId21">
        <w:r w:rsidR="00573E2E">
          <w:rPr>
            <w:color w:val="0563C1"/>
            <w:u w:val="single"/>
          </w:rPr>
          <w:t>https://www.datenschutzkonferenz-online.de/orientierungshilfen.html</w:t>
        </w:r>
      </w:hyperlink>
    </w:p>
    <w:p w14:paraId="5F2FA229" w14:textId="77777777" w:rsidR="00573E2E" w:rsidRDefault="00000000">
      <w:pPr>
        <w:pStyle w:val="Listenabsatz"/>
      </w:pPr>
      <w:r>
        <w:rPr>
          <w:color w:val="000000"/>
        </w:rPr>
        <w:t xml:space="preserve">Bayerisches Landesamt für Datenschutzaufsicht (BayLDA), Datenschutzkonforme Künstliche Intelligenz – Checkliste mit Prüfkriterien nach DS-GVO, Konsultationsstand v0.9 vom 24.01.2024, </w:t>
      </w:r>
      <w:hyperlink r:id="rId22">
        <w:r w:rsidR="00573E2E">
          <w:rPr>
            <w:color w:val="0563C1"/>
            <w:u w:val="single"/>
          </w:rPr>
          <w:t>https://www.lda.bayern.de/media/ki_checkliste.pdf</w:t>
        </w:r>
      </w:hyperlink>
    </w:p>
    <w:p w14:paraId="416CD6EF" w14:textId="77777777" w:rsidR="00573E2E" w:rsidRDefault="00000000">
      <w:pPr>
        <w:pStyle w:val="Listenabsatz"/>
      </w:pPr>
      <w:r>
        <w:rPr>
          <w:color w:val="000000"/>
        </w:rPr>
        <w:t xml:space="preserve">Open Worldwide Application Security Project (OWASP), OWASP Top 10 for LLM Applications, </w:t>
      </w:r>
      <w:hyperlink r:id="rId23">
        <w:r w:rsidR="00573E2E">
          <w:rPr>
            <w:color w:val="0563C1"/>
            <w:u w:val="single"/>
          </w:rPr>
          <w:t>https://genai.owasp.org/llm-top-10/</w:t>
        </w:r>
      </w:hyperlink>
    </w:p>
    <w:p w14:paraId="077E7914" w14:textId="77777777" w:rsidR="00573E2E" w:rsidRDefault="00000000">
      <w:r>
        <w:rPr>
          <w:b/>
        </w:rPr>
        <w:t>Praxisleitfäden für öffentliche Stellen</w:t>
      </w:r>
    </w:p>
    <w:p w14:paraId="19F7971C" w14:textId="77777777" w:rsidR="00573E2E" w:rsidRDefault="00000000">
      <w:pPr>
        <w:pStyle w:val="Listenabsatz"/>
      </w:pPr>
      <w:r>
        <w:rPr>
          <w:color w:val="000000"/>
        </w:rPr>
        <w:t xml:space="preserve">Bayerische Staatsregierung, Einsatz von Künstlicher Intelligenz in der Staatsverwaltung – Leitfaden für Behörden, </w:t>
      </w:r>
      <w:hyperlink r:id="rId24">
        <w:r w:rsidR="00573E2E">
          <w:rPr>
            <w:color w:val="0563C1"/>
            <w:u w:val="single"/>
          </w:rPr>
          <w:t>https://www.idee.bayern.de/digitalisierung/ki/</w:t>
        </w:r>
      </w:hyperlink>
    </w:p>
    <w:p w14:paraId="4A6CD268" w14:textId="77777777" w:rsidR="00573E2E" w:rsidRDefault="00000000">
      <w:pPr>
        <w:pStyle w:val="Listenabsatz"/>
      </w:pPr>
      <w:r>
        <w:rPr>
          <w:color w:val="000000"/>
        </w:rPr>
        <w:t xml:space="preserve">Hessisches Ministerium für Digitalisierung, Generative KI – Eine Einführung mit Blick auf die Landesverwaltung, Einführung ohne Anspruch auf aktuellen Rechtsstand, </w:t>
      </w:r>
      <w:hyperlink r:id="rId25">
        <w:r w:rsidR="00573E2E">
          <w:rPr>
            <w:color w:val="0563C1"/>
            <w:u w:val="single"/>
          </w:rPr>
          <w:t>https://digitales.hessen.de/sites/digitales.hessen.de/files/2024-09/generative_ki_barrierefrei.pdf</w:t>
        </w:r>
      </w:hyperlink>
    </w:p>
    <w:p w14:paraId="4BD0B353" w14:textId="77777777" w:rsidR="00573E2E" w:rsidRDefault="00000000">
      <w:pPr>
        <w:pStyle w:val="Listenabsatz"/>
      </w:pPr>
      <w:r>
        <w:rPr>
          <w:color w:val="000000"/>
        </w:rPr>
        <w:t xml:space="preserve">KGSt und VITAKO, Generative KI in Kommunalverwaltungen, Praxisquelle, nicht als alleinige rechtliche Grundlage geeignet, </w:t>
      </w:r>
      <w:hyperlink r:id="rId26">
        <w:r w:rsidR="00573E2E">
          <w:rPr>
            <w:color w:val="0563C1"/>
            <w:u w:val="single"/>
          </w:rPr>
          <w:t>https://www.kgst.de/documents/20181/34177/KI-Guideline_kgst-vitako.PDF/bcf28a56-c78d-46b1-6e7e-9d53ba13c637?t=1726034027491</w:t>
        </w:r>
      </w:hyperlink>
    </w:p>
    <w:p w14:paraId="207C654D" w14:textId="77777777" w:rsidR="00573E2E" w:rsidRDefault="00573E2E"/>
    <w:p w14:paraId="5F46EEE5" w14:textId="77777777" w:rsidR="00573E2E" w:rsidRDefault="00000000">
      <w:pPr>
        <w:pBdr>
          <w:top w:val="single" w:sz="8" w:space="6" w:color="00A5C8"/>
          <w:left w:val="single" w:sz="8" w:space="6" w:color="00A5C8"/>
          <w:bottom w:val="single" w:sz="8" w:space="6" w:color="00A5C8"/>
          <w:right w:val="single" w:sz="8" w:space="6" w:color="00A5C8"/>
        </w:pBdr>
        <w:shd w:val="clear" w:color="auto" w:fill="E8F6F9"/>
        <w:spacing w:after="60"/>
        <w:ind w:left="170" w:right="170"/>
      </w:pPr>
      <w:r>
        <w:rPr>
          <w:b/>
        </w:rPr>
        <w:t>Herausgeber, Nutzungsbedingungen und Feedback</w:t>
      </w:r>
    </w:p>
    <w:p w14:paraId="3F47C2AC" w14:textId="77777777" w:rsidR="00573E2E" w:rsidRDefault="00000000">
      <w:pPr>
        <w:pBdr>
          <w:top w:val="single" w:sz="8" w:space="6" w:color="00A5C8"/>
          <w:left w:val="single" w:sz="8" w:space="6" w:color="00A5C8"/>
          <w:bottom w:val="single" w:sz="8" w:space="6" w:color="00A5C8"/>
          <w:right w:val="single" w:sz="8" w:space="6" w:color="00A5C8"/>
        </w:pBdr>
        <w:shd w:val="clear" w:color="auto" w:fill="E8F6F9"/>
        <w:spacing w:after="60"/>
        <w:ind w:left="170" w:right="170"/>
      </w:pPr>
      <w:r>
        <w:rPr>
          <w:b/>
        </w:rPr>
        <w:t>Herausgeber:</w:t>
      </w:r>
      <w:r>
        <w:t xml:space="preserve"> a.s.k. Informationssicherheit Sascha Kuhrau, Schulstr. 16 A, 91245 Simmelsdorf</w:t>
      </w:r>
    </w:p>
    <w:p w14:paraId="3F042783" w14:textId="77777777" w:rsidR="00573E2E" w:rsidRDefault="00000000">
      <w:pPr>
        <w:pBdr>
          <w:top w:val="single" w:sz="8" w:space="6" w:color="00A5C8"/>
          <w:left w:val="single" w:sz="8" w:space="6" w:color="00A5C8"/>
          <w:bottom w:val="single" w:sz="8" w:space="6" w:color="00A5C8"/>
          <w:right w:val="single" w:sz="8" w:space="6" w:color="00A5C8"/>
        </w:pBdr>
        <w:shd w:val="clear" w:color="auto" w:fill="E8F6F9"/>
        <w:spacing w:after="60"/>
        <w:ind w:left="170" w:right="170"/>
      </w:pPr>
      <w:r>
        <w:rPr>
          <w:b/>
        </w:rPr>
        <w:t>Nutzungsbedingungen (Fair Use):</w:t>
      </w:r>
      <w:r>
        <w:t xml:space="preserve"> Dieser Baustein darf kostenfrei genutzt, vervielfältigt und weitergegeben werden, auch im Rahmen beruflicher oder beratender Tätigkeit. Voraussetzung ist, dass er unverändert bleibt und die a.s.k. Informationssicherheit Sascha Kuhrau als Herausgeberin genannt wird. Für den internen Gebrauch darf er angepasst werden, etwa durch das Ausblenden nicht einschlägiger Anforderungen im eigenen ISMS-Werkzeug. Bearbeitete Fassungen dürfen nur nach Absprache mit der a.s.k. Informationssicherheit veröffentlicht oder an Dritte weitergegeben werden. Der Baustein darf nicht verkauft und nicht als eigenständiges Produkt oder als Teil eines kostenpflichtigen Vorlagen- oder Dokumentenpakets vertrieben werden. Die Verwendung im Rahmen kostenpflichtiger Beratungs- oder Schulungsleistungen bleibt davon unberührt. Logos sind von diesen Bedingungen ausgenommen.</w:t>
      </w:r>
    </w:p>
    <w:p w14:paraId="1D6C9D11" w14:textId="77777777" w:rsidR="00573E2E" w:rsidRDefault="00000000">
      <w:pPr>
        <w:pBdr>
          <w:top w:val="single" w:sz="8" w:space="6" w:color="00A5C8"/>
          <w:left w:val="single" w:sz="8" w:space="6" w:color="00A5C8"/>
          <w:bottom w:val="single" w:sz="8" w:space="6" w:color="00A5C8"/>
          <w:right w:val="single" w:sz="8" w:space="6" w:color="00A5C8"/>
        </w:pBdr>
        <w:shd w:val="clear" w:color="auto" w:fill="E8F6F9"/>
        <w:spacing w:after="60"/>
        <w:ind w:left="170" w:right="170"/>
      </w:pPr>
      <w:r>
        <w:rPr>
          <w:b/>
        </w:rPr>
        <w:t>Haftung:</w:t>
      </w:r>
      <w:r>
        <w:t xml:space="preserve"> Der Baustein wurde mit Sorgfalt erstellt. Eine Gewähr für Richtigkeit, Vollständigkeit und Aktualität wird nicht übernommen.</w:t>
      </w:r>
    </w:p>
    <w:p w14:paraId="6AD24BCC" w14:textId="77777777" w:rsidR="00573E2E" w:rsidRDefault="00000000">
      <w:pPr>
        <w:pBdr>
          <w:top w:val="single" w:sz="8" w:space="6" w:color="00A5C8"/>
          <w:left w:val="single" w:sz="8" w:space="6" w:color="00A5C8"/>
          <w:bottom w:val="single" w:sz="8" w:space="6" w:color="00A5C8"/>
          <w:right w:val="single" w:sz="8" w:space="6" w:color="00A5C8"/>
        </w:pBdr>
        <w:shd w:val="clear" w:color="auto" w:fill="E8F6F9"/>
        <w:spacing w:after="60"/>
        <w:ind w:left="170" w:right="170"/>
      </w:pPr>
      <w:r>
        <w:rPr>
          <w:b/>
        </w:rPr>
        <w:t>Feedback:</w:t>
      </w:r>
      <w:r>
        <w:t xml:space="preserve"> Hinweise, Korrekturen und Ideen zur Weiterentwicklung sind ausdrücklich erwünscht: </w:t>
      </w:r>
      <w:hyperlink r:id="rId27">
        <w:r w:rsidR="00573E2E">
          <w:rPr>
            <w:color w:val="0563C1"/>
            <w:u w:val="single"/>
          </w:rPr>
          <w:t>info@ask-informationssicherheit.de</w:t>
        </w:r>
      </w:hyperlink>
    </w:p>
    <w:p w14:paraId="20B2BAE9" w14:textId="77777777" w:rsidR="00573E2E" w:rsidRDefault="00000000">
      <w:pPr>
        <w:pBdr>
          <w:top w:val="single" w:sz="8" w:space="6" w:color="00A5C8"/>
          <w:left w:val="single" w:sz="8" w:space="6" w:color="00A5C8"/>
          <w:bottom w:val="single" w:sz="8" w:space="6" w:color="00A5C8"/>
          <w:right w:val="single" w:sz="8" w:space="6" w:color="00A5C8"/>
        </w:pBdr>
        <w:shd w:val="clear" w:color="auto" w:fill="E8F6F9"/>
        <w:spacing w:after="0"/>
        <w:ind w:left="170" w:right="170"/>
      </w:pPr>
      <w:r>
        <w:t>Stand: Version 0.3 (Community Draft) vom 05.11.2026, Rechtsstand 23.10.2026</w:t>
      </w:r>
    </w:p>
    <w:sectPr w:rsidR="00573E2E" w:rsidSect="000553B0">
      <w:headerReference w:type="default" r:id="rId28"/>
      <w:footerReference w:type="default" r:id="rId29"/>
      <w:headerReference w:type="first" r:id="rId30"/>
      <w:footerReference w:type="first" r:id="rId31"/>
      <w:pgSz w:w="11906" w:h="16838" w:code="9"/>
      <w:pgMar w:top="1134" w:right="851" w:bottom="1134"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2E0D715" w14:textId="77777777" w:rsidR="0066273E" w:rsidRDefault="0066273E" w:rsidP="009F5281">
      <w:pPr>
        <w:spacing w:after="0"/>
      </w:pPr>
      <w:r>
        <w:separator/>
      </w:r>
    </w:p>
  </w:endnote>
  <w:endnote w:type="continuationSeparator" w:id="0">
    <w:p w14:paraId="5D92D6A8" w14:textId="77777777" w:rsidR="0066273E" w:rsidRDefault="0066273E" w:rsidP="009F528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BundesSerif Office">
    <w:altName w:val="Cambria"/>
    <w:panose1 w:val="020B0604020202020204"/>
    <w:charset w:val="00"/>
    <w:family w:val="roman"/>
    <w:pitch w:val="variable"/>
    <w:sig w:usb0="A00000BF" w:usb1="4000206B" w:usb2="00000000" w:usb3="00000000" w:csb0="00000093"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18C0801" w14:textId="77777777" w:rsidR="005B071B" w:rsidRPr="00067DCB" w:rsidRDefault="00F95037" w:rsidP="00713119">
    <w:pPr>
      <w:pStyle w:val="StandardWeb"/>
      <w:tabs>
        <w:tab w:val="left" w:pos="1418"/>
      </w:tabs>
      <w:spacing w:after="142" w:line="240" w:lineRule="auto"/>
      <w:jc w:val="center"/>
      <w:rPr>
        <w:sz w:val="18"/>
        <w:szCs w:val="18"/>
      </w:rPr>
    </w:pPr>
    <w:r w:rsidRPr="00067DCB">
      <w:rPr>
        <w:rFonts w:ascii="BundesSerif Office" w:hAnsi="BundesSerif Office"/>
        <w:sz w:val="18"/>
        <w:szCs w:val="18"/>
      </w:rPr>
      <w:t xml:space="preserve">Seite </w:t>
    </w:r>
    <w:r w:rsidRPr="00067DCB">
      <w:rPr>
        <w:rFonts w:ascii="BundesSerif Office" w:hAnsi="BundesSerif Office"/>
        <w:b/>
        <w:bCs/>
        <w:sz w:val="18"/>
        <w:szCs w:val="18"/>
      </w:rPr>
      <w:fldChar w:fldCharType="begin"/>
    </w:r>
    <w:r w:rsidRPr="00067DCB">
      <w:rPr>
        <w:rFonts w:ascii="BundesSerif Office" w:hAnsi="BundesSerif Office"/>
        <w:b/>
        <w:bCs/>
        <w:sz w:val="18"/>
        <w:szCs w:val="18"/>
      </w:rPr>
      <w:instrText>PAGE  \* Arabic  \* MERGEFORMAT</w:instrText>
    </w:r>
    <w:r w:rsidRPr="00067DCB">
      <w:rPr>
        <w:rFonts w:ascii="BundesSerif Office" w:hAnsi="BundesSerif Office"/>
        <w:b/>
        <w:bCs/>
        <w:sz w:val="18"/>
        <w:szCs w:val="18"/>
      </w:rPr>
      <w:fldChar w:fldCharType="separate"/>
    </w:r>
    <w:r w:rsidR="0035714E">
      <w:rPr>
        <w:rFonts w:ascii="BundesSerif Office" w:hAnsi="BundesSerif Office"/>
        <w:b/>
        <w:bCs/>
        <w:noProof/>
        <w:sz w:val="18"/>
        <w:szCs w:val="18"/>
      </w:rPr>
      <w:t>4</w:t>
    </w:r>
    <w:r w:rsidRPr="00067DCB">
      <w:rPr>
        <w:rFonts w:ascii="BundesSerif Office" w:hAnsi="BundesSerif Office"/>
        <w:b/>
        <w:bCs/>
        <w:sz w:val="18"/>
        <w:szCs w:val="18"/>
      </w:rPr>
      <w:fldChar w:fldCharType="end"/>
    </w:r>
    <w:r w:rsidRPr="00067DCB">
      <w:rPr>
        <w:rFonts w:ascii="BundesSerif Office" w:hAnsi="BundesSerif Office"/>
        <w:sz w:val="18"/>
        <w:szCs w:val="18"/>
      </w:rPr>
      <w:t xml:space="preserve"> von </w:t>
    </w:r>
    <w:r w:rsidRPr="00067DCB">
      <w:rPr>
        <w:rFonts w:ascii="BundesSerif Office" w:hAnsi="BundesSerif Office"/>
        <w:b/>
        <w:bCs/>
        <w:sz w:val="18"/>
        <w:szCs w:val="18"/>
      </w:rPr>
      <w:fldChar w:fldCharType="begin"/>
    </w:r>
    <w:r w:rsidRPr="00067DCB">
      <w:rPr>
        <w:rFonts w:ascii="BundesSerif Office" w:hAnsi="BundesSerif Office"/>
        <w:b/>
        <w:bCs/>
        <w:sz w:val="18"/>
        <w:szCs w:val="18"/>
      </w:rPr>
      <w:instrText>NUMPAGES  \* Arabic  \* MERGEFORMAT</w:instrText>
    </w:r>
    <w:r w:rsidRPr="00067DCB">
      <w:rPr>
        <w:rFonts w:ascii="BundesSerif Office" w:hAnsi="BundesSerif Office"/>
        <w:b/>
        <w:bCs/>
        <w:sz w:val="18"/>
        <w:szCs w:val="18"/>
      </w:rPr>
      <w:fldChar w:fldCharType="separate"/>
    </w:r>
    <w:r w:rsidR="0035714E">
      <w:rPr>
        <w:rFonts w:ascii="BundesSerif Office" w:hAnsi="BundesSerif Office"/>
        <w:b/>
        <w:bCs/>
        <w:noProof/>
        <w:sz w:val="18"/>
        <w:szCs w:val="18"/>
      </w:rPr>
      <w:t>6</w:t>
    </w:r>
    <w:r w:rsidRPr="00067DCB">
      <w:rPr>
        <w:rFonts w:ascii="BundesSerif Office" w:hAnsi="BundesSerif Office"/>
        <w:b/>
        <w:bCs/>
        <w:sz w:val="18"/>
        <w:szCs w:val="18"/>
      </w:rPr>
      <w:fldChar w:fldCharType="end"/>
    </w:r>
  </w:p>
  <w:p w14:paraId="441BD505" w14:textId="77777777" w:rsidR="00573E2E" w:rsidRDefault="00000000">
    <w:pPr>
      <w:jc w:val="center"/>
    </w:pPr>
    <w:r>
      <w:rPr>
        <w:color w:val="555555"/>
        <w:sz w:val="16"/>
      </w:rPr>
      <w:t xml:space="preserve">Benutzerdefinierter Baustein der a.s.k. Informationssicherheit – kein Baustein des BSI · Version 0.3 (Community </w:t>
    </w:r>
    <w:proofErr w:type="spellStart"/>
    <w:r>
      <w:rPr>
        <w:color w:val="555555"/>
        <w:sz w:val="16"/>
      </w:rPr>
      <w:t>Draft</w:t>
    </w:r>
    <w:proofErr w:type="spellEnd"/>
    <w:r>
      <w:rPr>
        <w:color w:val="555555"/>
        <w:sz w:val="16"/>
      </w:rPr>
      <w:t>) · Nutzung nach Fair-Use-Bedingungen</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5354E8F" w14:textId="77777777" w:rsidR="005B071B" w:rsidRPr="00067DCB" w:rsidRDefault="00F95037" w:rsidP="00713119">
    <w:pPr>
      <w:pStyle w:val="StandardWeb"/>
      <w:tabs>
        <w:tab w:val="left" w:pos="1418"/>
      </w:tabs>
      <w:spacing w:after="142" w:line="240" w:lineRule="auto"/>
      <w:jc w:val="center"/>
      <w:rPr>
        <w:rFonts w:ascii="BundesSerif Office" w:hAnsi="BundesSerif Office"/>
        <w:sz w:val="18"/>
        <w:szCs w:val="18"/>
      </w:rPr>
    </w:pPr>
    <w:r w:rsidRPr="00067DCB">
      <w:rPr>
        <w:rFonts w:ascii="BundesSerif Office" w:hAnsi="BundesSerif Office"/>
        <w:sz w:val="18"/>
        <w:szCs w:val="18"/>
      </w:rPr>
      <w:t xml:space="preserve">Seite </w:t>
    </w:r>
    <w:r w:rsidRPr="00067DCB">
      <w:rPr>
        <w:rFonts w:ascii="BundesSerif Office" w:hAnsi="BundesSerif Office"/>
        <w:b/>
        <w:bCs/>
        <w:sz w:val="18"/>
        <w:szCs w:val="18"/>
      </w:rPr>
      <w:fldChar w:fldCharType="begin"/>
    </w:r>
    <w:r w:rsidRPr="00067DCB">
      <w:rPr>
        <w:rFonts w:ascii="BundesSerif Office" w:hAnsi="BundesSerif Office"/>
        <w:b/>
        <w:bCs/>
        <w:sz w:val="18"/>
        <w:szCs w:val="18"/>
      </w:rPr>
      <w:instrText>PAGE  \* Arabic  \* MERGEFORMAT</w:instrText>
    </w:r>
    <w:r w:rsidRPr="00067DCB">
      <w:rPr>
        <w:rFonts w:ascii="BundesSerif Office" w:hAnsi="BundesSerif Office"/>
        <w:b/>
        <w:bCs/>
        <w:sz w:val="18"/>
        <w:szCs w:val="18"/>
      </w:rPr>
      <w:fldChar w:fldCharType="separate"/>
    </w:r>
    <w:r w:rsidR="0035714E">
      <w:rPr>
        <w:rFonts w:ascii="BundesSerif Office" w:hAnsi="BundesSerif Office"/>
        <w:b/>
        <w:bCs/>
        <w:noProof/>
        <w:sz w:val="18"/>
        <w:szCs w:val="18"/>
      </w:rPr>
      <w:t>1</w:t>
    </w:r>
    <w:r w:rsidRPr="00067DCB">
      <w:rPr>
        <w:rFonts w:ascii="BundesSerif Office" w:hAnsi="BundesSerif Office"/>
        <w:b/>
        <w:bCs/>
        <w:sz w:val="18"/>
        <w:szCs w:val="18"/>
      </w:rPr>
      <w:fldChar w:fldCharType="end"/>
    </w:r>
    <w:r w:rsidRPr="00067DCB">
      <w:rPr>
        <w:rFonts w:ascii="BundesSerif Office" w:hAnsi="BundesSerif Office"/>
        <w:sz w:val="18"/>
        <w:szCs w:val="18"/>
      </w:rPr>
      <w:t xml:space="preserve"> von </w:t>
    </w:r>
    <w:r w:rsidRPr="00067DCB">
      <w:rPr>
        <w:rFonts w:ascii="BundesSerif Office" w:hAnsi="BundesSerif Office"/>
        <w:b/>
        <w:bCs/>
        <w:sz w:val="18"/>
        <w:szCs w:val="18"/>
      </w:rPr>
      <w:fldChar w:fldCharType="begin"/>
    </w:r>
    <w:r w:rsidRPr="00067DCB">
      <w:rPr>
        <w:rFonts w:ascii="BundesSerif Office" w:hAnsi="BundesSerif Office"/>
        <w:b/>
        <w:bCs/>
        <w:sz w:val="18"/>
        <w:szCs w:val="18"/>
      </w:rPr>
      <w:instrText>NUMPAGES  \* Arabic  \* MERGEFORMAT</w:instrText>
    </w:r>
    <w:r w:rsidRPr="00067DCB">
      <w:rPr>
        <w:rFonts w:ascii="BundesSerif Office" w:hAnsi="BundesSerif Office"/>
        <w:b/>
        <w:bCs/>
        <w:sz w:val="18"/>
        <w:szCs w:val="18"/>
      </w:rPr>
      <w:fldChar w:fldCharType="separate"/>
    </w:r>
    <w:r w:rsidR="0035714E">
      <w:rPr>
        <w:rFonts w:ascii="BundesSerif Office" w:hAnsi="BundesSerif Office"/>
        <w:b/>
        <w:bCs/>
        <w:noProof/>
        <w:sz w:val="18"/>
        <w:szCs w:val="18"/>
      </w:rPr>
      <w:t>6</w:t>
    </w:r>
    <w:r w:rsidRPr="00067DCB">
      <w:rPr>
        <w:rFonts w:ascii="BundesSerif Office" w:hAnsi="BundesSerif Office"/>
        <w:b/>
        <w:bCs/>
        <w:sz w:val="18"/>
        <w:szCs w:val="18"/>
      </w:rPr>
      <w:fldChar w:fldCharType="end"/>
    </w:r>
  </w:p>
  <w:p w14:paraId="79139EFC" w14:textId="77777777" w:rsidR="00573E2E" w:rsidRDefault="00000000">
    <w:pPr>
      <w:jc w:val="center"/>
    </w:pPr>
    <w:r>
      <w:rPr>
        <w:color w:val="555555"/>
        <w:sz w:val="16"/>
      </w:rPr>
      <w:t xml:space="preserve">Benutzerdefinierter Baustein der a.s.k. Informationssicherheit – kein Baustein des BSI · Version 0.3 (Community </w:t>
    </w:r>
    <w:proofErr w:type="spellStart"/>
    <w:r>
      <w:rPr>
        <w:color w:val="555555"/>
        <w:sz w:val="16"/>
      </w:rPr>
      <w:t>Draft</w:t>
    </w:r>
    <w:proofErr w:type="spellEnd"/>
    <w:r>
      <w:rPr>
        <w:color w:val="555555"/>
        <w:sz w:val="16"/>
      </w:rPr>
      <w:t>) · Nutzung nach Fair-Use-Bedingungen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DAFD863" w14:textId="77777777" w:rsidR="0066273E" w:rsidRDefault="0066273E" w:rsidP="009F5281">
      <w:pPr>
        <w:spacing w:after="0"/>
      </w:pPr>
      <w:r>
        <w:separator/>
      </w:r>
    </w:p>
  </w:footnote>
  <w:footnote w:type="continuationSeparator" w:id="0">
    <w:p w14:paraId="69FC18A9" w14:textId="77777777" w:rsidR="0066273E" w:rsidRDefault="0066273E" w:rsidP="009F5281">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84ECEF2" w14:textId="77777777" w:rsidR="005B071B" w:rsidRPr="00067DCB" w:rsidRDefault="00184BCD" w:rsidP="004C119F">
    <w:pPr>
      <w:spacing w:after="120" w:line="284" w:lineRule="atLeast"/>
      <w:jc w:val="right"/>
      <w:rPr>
        <w:rFonts w:eastAsia="Times New Roman" w:cs="Times New Roman"/>
        <w:sz w:val="18"/>
        <w:szCs w:val="18"/>
        <w:lang w:eastAsia="de-DE"/>
      </w:rPr>
    </w:pPr>
    <w:r w:rsidRPr="00067DCB">
      <w:rPr>
        <w:rFonts w:eastAsia="Times New Roman" w:cs="Times New Roman"/>
        <w:color w:val="000000"/>
        <w:spacing w:val="2"/>
        <w:sz w:val="18"/>
        <w:szCs w:val="18"/>
        <w:lang w:eastAsia="de-DE"/>
      </w:rPr>
      <w:t xml:space="preserve">OPS.bd.1 Einsatz von Künstlicher Intelligenz · Community </w:t>
    </w:r>
    <w:proofErr w:type="spellStart"/>
    <w:r w:rsidRPr="00067DCB">
      <w:rPr>
        <w:rFonts w:eastAsia="Times New Roman" w:cs="Times New Roman"/>
        <w:color w:val="000000"/>
        <w:spacing w:val="2"/>
        <w:sz w:val="18"/>
        <w:szCs w:val="18"/>
        <w:lang w:eastAsia="de-DE"/>
      </w:rPr>
      <w:t>Draft</w:t>
    </w:r>
    <w:proofErr w:type="spellEnd"/>
    <w:r w:rsidRPr="00067DCB">
      <w:rPr>
        <w:rFonts w:eastAsia="Times New Roman" w:cs="Times New Roman"/>
        <w:color w:val="000000"/>
        <w:spacing w:val="2"/>
        <w:sz w:val="18"/>
        <w:szCs w:val="18"/>
        <w:lang w:eastAsia="de-DE"/>
      </w:rPr>
      <w:t xml:space="preserve"> 0.3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68E5DB1" w14:textId="77777777" w:rsidR="00573E2E" w:rsidRDefault="00573E2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78D5720"/>
    <w:multiLevelType w:val="hybridMultilevel"/>
    <w:tmpl w:val="23FE0C72"/>
    <w:lvl w:ilvl="0" w:tplc="BA0875E4">
      <w:start w:val="1"/>
      <w:numFmt w:val="bullet"/>
      <w:lvlText w:val="A"/>
      <w:lvlJc w:val="center"/>
      <w:pPr>
        <w:ind w:left="720" w:hanging="360"/>
      </w:pPr>
      <w:rPr>
        <w:rFonts w:ascii="BundesSerif Office" w:hAnsi="BundesSerif Office"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08D57ADF"/>
    <w:multiLevelType w:val="multilevel"/>
    <w:tmpl w:val="0BAAF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871BF2"/>
    <w:multiLevelType w:val="multilevel"/>
    <w:tmpl w:val="970C0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FB440C"/>
    <w:multiLevelType w:val="multilevel"/>
    <w:tmpl w:val="ABE2A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D713CC"/>
    <w:multiLevelType w:val="hybridMultilevel"/>
    <w:tmpl w:val="5D4EF408"/>
    <w:lvl w:ilvl="0" w:tplc="04070017">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19A47072"/>
    <w:multiLevelType w:val="multilevel"/>
    <w:tmpl w:val="3A86A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6571B7"/>
    <w:multiLevelType w:val="hybridMultilevel"/>
    <w:tmpl w:val="9B58013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1DFB5B80"/>
    <w:multiLevelType w:val="multilevel"/>
    <w:tmpl w:val="509CDC72"/>
    <w:lvl w:ilvl="0">
      <w:start w:val="1"/>
      <w:numFmt w:val="decimal"/>
      <w:pStyle w:val="berschrift1"/>
      <w:lvlText w:val="%1."/>
      <w:lvlJc w:val="left"/>
      <w:pPr>
        <w:ind w:left="432" w:hanging="432"/>
      </w:pPr>
      <w:rPr>
        <w:rFonts w:hint="default"/>
      </w:rPr>
    </w:lvl>
    <w:lvl w:ilvl="1">
      <w:start w:val="1"/>
      <w:numFmt w:val="decimal"/>
      <w:pStyle w:val="berschrift2"/>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pStyle w:val="berschrift5"/>
      <w:lvlText w:val="%1.%2.%3.%4.%5"/>
      <w:lvlJc w:val="left"/>
      <w:pPr>
        <w:ind w:left="1008" w:hanging="1008"/>
      </w:pPr>
      <w:rPr>
        <w:rFonts w:hint="default"/>
      </w:rPr>
    </w:lvl>
    <w:lvl w:ilvl="5">
      <w:start w:val="1"/>
      <w:numFmt w:val="decimal"/>
      <w:pStyle w:val="berschrift6"/>
      <w:lvlText w:val="%1.%2.%3.%4.%5.%6"/>
      <w:lvlJc w:val="left"/>
      <w:pPr>
        <w:ind w:left="1152" w:hanging="1152"/>
      </w:pPr>
      <w:rPr>
        <w:rFonts w:hint="default"/>
      </w:rPr>
    </w:lvl>
    <w:lvl w:ilvl="6">
      <w:start w:val="1"/>
      <w:numFmt w:val="decimal"/>
      <w:pStyle w:val="berschrift7"/>
      <w:lvlText w:val="%1.%2.%3.%4.%5.%6.%7"/>
      <w:lvlJc w:val="left"/>
      <w:pPr>
        <w:ind w:left="1296" w:hanging="1296"/>
      </w:pPr>
      <w:rPr>
        <w:rFonts w:hint="default"/>
      </w:rPr>
    </w:lvl>
    <w:lvl w:ilvl="7">
      <w:start w:val="1"/>
      <w:numFmt w:val="decimal"/>
      <w:pStyle w:val="berschrift8"/>
      <w:lvlText w:val="%1.%2.%3.%4.%5.%6.%7.%8"/>
      <w:lvlJc w:val="left"/>
      <w:pPr>
        <w:ind w:left="1440" w:hanging="1440"/>
      </w:pPr>
      <w:rPr>
        <w:rFonts w:hint="default"/>
      </w:rPr>
    </w:lvl>
    <w:lvl w:ilvl="8">
      <w:start w:val="1"/>
      <w:numFmt w:val="decimal"/>
      <w:pStyle w:val="berschrift9"/>
      <w:lvlText w:val="%1.%2.%3.%4.%5.%6.%7.%8.%9"/>
      <w:lvlJc w:val="left"/>
      <w:pPr>
        <w:ind w:left="1584" w:hanging="1584"/>
      </w:pPr>
      <w:rPr>
        <w:rFonts w:hint="default"/>
      </w:rPr>
    </w:lvl>
  </w:abstractNum>
  <w:abstractNum w:abstractNumId="8" w15:restartNumberingAfterBreak="0">
    <w:nsid w:val="1FE37174"/>
    <w:multiLevelType w:val="multilevel"/>
    <w:tmpl w:val="8A904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C2424F"/>
    <w:multiLevelType w:val="hybridMultilevel"/>
    <w:tmpl w:val="57CA43F6"/>
    <w:lvl w:ilvl="0" w:tplc="C872351C">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35B40116"/>
    <w:multiLevelType w:val="multilevel"/>
    <w:tmpl w:val="A1523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60D56DE"/>
    <w:multiLevelType w:val="hybridMultilevel"/>
    <w:tmpl w:val="A3CEB24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3AF1752C"/>
    <w:multiLevelType w:val="multilevel"/>
    <w:tmpl w:val="B7D4E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D1A5DE1"/>
    <w:multiLevelType w:val="multilevel"/>
    <w:tmpl w:val="86C01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2493266"/>
    <w:multiLevelType w:val="hybridMultilevel"/>
    <w:tmpl w:val="1518B48C"/>
    <w:lvl w:ilvl="0" w:tplc="5574B328">
      <w:start w:val="1"/>
      <w:numFmt w:val="upp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 w15:restartNumberingAfterBreak="0">
    <w:nsid w:val="43124BE4"/>
    <w:multiLevelType w:val="hybridMultilevel"/>
    <w:tmpl w:val="46CEA95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461B2FEA"/>
    <w:multiLevelType w:val="multilevel"/>
    <w:tmpl w:val="9F12E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66C6A64"/>
    <w:multiLevelType w:val="multilevel"/>
    <w:tmpl w:val="81CC0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9B566D8"/>
    <w:multiLevelType w:val="multilevel"/>
    <w:tmpl w:val="0407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E2A69B8"/>
    <w:multiLevelType w:val="hybridMultilevel"/>
    <w:tmpl w:val="02E8D6B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4E36397D"/>
    <w:multiLevelType w:val="hybridMultilevel"/>
    <w:tmpl w:val="3E34C366"/>
    <w:lvl w:ilvl="0" w:tplc="032E7432">
      <w:start w:val="1"/>
      <w:numFmt w:val="lowerLetter"/>
      <w:lvlText w:val="%1)"/>
      <w:lvlJc w:val="left"/>
      <w:pPr>
        <w:ind w:left="720" w:hanging="360"/>
      </w:pPr>
      <w:rPr>
        <w:rFonts w:hint="default"/>
        <w:i/>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1" w15:restartNumberingAfterBreak="0">
    <w:nsid w:val="4F62182B"/>
    <w:multiLevelType w:val="hybridMultilevel"/>
    <w:tmpl w:val="DA42AAE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 w15:restartNumberingAfterBreak="0">
    <w:nsid w:val="54A91D49"/>
    <w:multiLevelType w:val="multilevel"/>
    <w:tmpl w:val="5F129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4DF248E"/>
    <w:multiLevelType w:val="multilevel"/>
    <w:tmpl w:val="3C6EC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6BF291F"/>
    <w:multiLevelType w:val="multilevel"/>
    <w:tmpl w:val="6FA2F5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8AC111B"/>
    <w:multiLevelType w:val="hybridMultilevel"/>
    <w:tmpl w:val="C5C25598"/>
    <w:lvl w:ilvl="0" w:tplc="2EAE541E">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6" w15:restartNumberingAfterBreak="0">
    <w:nsid w:val="59803FAD"/>
    <w:multiLevelType w:val="multilevel"/>
    <w:tmpl w:val="32B6E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9EC759E"/>
    <w:multiLevelType w:val="hybridMultilevel"/>
    <w:tmpl w:val="A4FE3410"/>
    <w:lvl w:ilvl="0" w:tplc="A43C1432">
      <w:start w:val="1"/>
      <w:numFmt w:val="bullet"/>
      <w:pStyle w:val="Listenabsatz"/>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8" w15:restartNumberingAfterBreak="0">
    <w:nsid w:val="5B4B25CA"/>
    <w:multiLevelType w:val="hybridMultilevel"/>
    <w:tmpl w:val="DF183464"/>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9" w15:restartNumberingAfterBreak="0">
    <w:nsid w:val="5D141426"/>
    <w:multiLevelType w:val="multilevel"/>
    <w:tmpl w:val="62C8E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E617D72"/>
    <w:multiLevelType w:val="multilevel"/>
    <w:tmpl w:val="0407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5FDF49B1"/>
    <w:multiLevelType w:val="multilevel"/>
    <w:tmpl w:val="A9140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17C0B1B"/>
    <w:multiLevelType w:val="multilevel"/>
    <w:tmpl w:val="6B7CE7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39F0E48"/>
    <w:multiLevelType w:val="hybridMultilevel"/>
    <w:tmpl w:val="0BAE611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4" w15:restartNumberingAfterBreak="0">
    <w:nsid w:val="64AD046B"/>
    <w:multiLevelType w:val="multilevel"/>
    <w:tmpl w:val="768AF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1661FF9"/>
    <w:multiLevelType w:val="hybridMultilevel"/>
    <w:tmpl w:val="92101D12"/>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6" w15:restartNumberingAfterBreak="0">
    <w:nsid w:val="74B043AB"/>
    <w:multiLevelType w:val="multilevel"/>
    <w:tmpl w:val="95542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6711DDF"/>
    <w:multiLevelType w:val="multilevel"/>
    <w:tmpl w:val="40BA69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71C4D00"/>
    <w:multiLevelType w:val="multilevel"/>
    <w:tmpl w:val="867234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D741AC2"/>
    <w:multiLevelType w:val="hybridMultilevel"/>
    <w:tmpl w:val="8B549C6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429811383">
    <w:abstractNumId w:val="30"/>
  </w:num>
  <w:num w:numId="2" w16cid:durableId="608783843">
    <w:abstractNumId w:val="14"/>
  </w:num>
  <w:num w:numId="3" w16cid:durableId="828790299">
    <w:abstractNumId w:val="18"/>
  </w:num>
  <w:num w:numId="4" w16cid:durableId="1013800690">
    <w:abstractNumId w:val="7"/>
  </w:num>
  <w:num w:numId="5" w16cid:durableId="1509641251">
    <w:abstractNumId w:val="0"/>
  </w:num>
  <w:num w:numId="6" w16cid:durableId="810363140">
    <w:abstractNumId w:val="0"/>
    <w:lvlOverride w:ilvl="0">
      <w:startOverride w:val="1"/>
    </w:lvlOverride>
  </w:num>
  <w:num w:numId="7" w16cid:durableId="70003161">
    <w:abstractNumId w:val="0"/>
    <w:lvlOverride w:ilvl="0">
      <w:startOverride w:val="1"/>
    </w:lvlOverride>
  </w:num>
  <w:num w:numId="8" w16cid:durableId="1881017236">
    <w:abstractNumId w:val="0"/>
    <w:lvlOverride w:ilvl="0">
      <w:startOverride w:val="1"/>
    </w:lvlOverride>
  </w:num>
  <w:num w:numId="9" w16cid:durableId="1487210282">
    <w:abstractNumId w:val="0"/>
    <w:lvlOverride w:ilvl="0">
      <w:startOverride w:val="1"/>
    </w:lvlOverride>
  </w:num>
  <w:num w:numId="10" w16cid:durableId="930702423">
    <w:abstractNumId w:val="0"/>
    <w:lvlOverride w:ilvl="0">
      <w:startOverride w:val="1"/>
    </w:lvlOverride>
  </w:num>
  <w:num w:numId="11" w16cid:durableId="150491204">
    <w:abstractNumId w:val="13"/>
  </w:num>
  <w:num w:numId="12" w16cid:durableId="569120541">
    <w:abstractNumId w:val="26"/>
  </w:num>
  <w:num w:numId="13" w16cid:durableId="475489001">
    <w:abstractNumId w:val="10"/>
  </w:num>
  <w:num w:numId="14" w16cid:durableId="699671546">
    <w:abstractNumId w:val="4"/>
  </w:num>
  <w:num w:numId="15" w16cid:durableId="319045249">
    <w:abstractNumId w:val="20"/>
  </w:num>
  <w:num w:numId="16" w16cid:durableId="2109932822">
    <w:abstractNumId w:val="25"/>
  </w:num>
  <w:num w:numId="17" w16cid:durableId="249045403">
    <w:abstractNumId w:val="19"/>
  </w:num>
  <w:num w:numId="18" w16cid:durableId="1763911899">
    <w:abstractNumId w:val="11"/>
  </w:num>
  <w:num w:numId="19" w16cid:durableId="1627854583">
    <w:abstractNumId w:val="34"/>
  </w:num>
  <w:num w:numId="20" w16cid:durableId="528295878">
    <w:abstractNumId w:val="29"/>
  </w:num>
  <w:num w:numId="21" w16cid:durableId="261838764">
    <w:abstractNumId w:val="12"/>
  </w:num>
  <w:num w:numId="22" w16cid:durableId="1054694252">
    <w:abstractNumId w:val="31"/>
  </w:num>
  <w:num w:numId="23" w16cid:durableId="1297375388">
    <w:abstractNumId w:val="21"/>
  </w:num>
  <w:num w:numId="24" w16cid:durableId="368339449">
    <w:abstractNumId w:val="15"/>
  </w:num>
  <w:num w:numId="25" w16cid:durableId="1116296473">
    <w:abstractNumId w:val="33"/>
  </w:num>
  <w:num w:numId="26" w16cid:durableId="835649543">
    <w:abstractNumId w:val="1"/>
  </w:num>
  <w:num w:numId="27" w16cid:durableId="481387654">
    <w:abstractNumId w:val="24"/>
  </w:num>
  <w:num w:numId="28" w16cid:durableId="1950506659">
    <w:abstractNumId w:val="5"/>
  </w:num>
  <w:num w:numId="29" w16cid:durableId="1832794384">
    <w:abstractNumId w:val="23"/>
  </w:num>
  <w:num w:numId="30" w16cid:durableId="665090633">
    <w:abstractNumId w:val="9"/>
  </w:num>
  <w:num w:numId="31" w16cid:durableId="25060307">
    <w:abstractNumId w:val="24"/>
  </w:num>
  <w:num w:numId="32" w16cid:durableId="1361200168">
    <w:abstractNumId w:val="16"/>
  </w:num>
  <w:num w:numId="33" w16cid:durableId="2126270218">
    <w:abstractNumId w:val="2"/>
  </w:num>
  <w:num w:numId="34" w16cid:durableId="1322925233">
    <w:abstractNumId w:val="3"/>
  </w:num>
  <w:num w:numId="35" w16cid:durableId="1623614821">
    <w:abstractNumId w:val="8"/>
  </w:num>
  <w:num w:numId="36" w16cid:durableId="1429305513">
    <w:abstractNumId w:val="17"/>
  </w:num>
  <w:num w:numId="37" w16cid:durableId="1564875857">
    <w:abstractNumId w:val="24"/>
  </w:num>
  <w:num w:numId="38" w16cid:durableId="1094090131">
    <w:abstractNumId w:val="32"/>
  </w:num>
  <w:num w:numId="39" w16cid:durableId="1055734186">
    <w:abstractNumId w:val="27"/>
  </w:num>
  <w:num w:numId="40" w16cid:durableId="1267421434">
    <w:abstractNumId w:val="22"/>
  </w:num>
  <w:num w:numId="41" w16cid:durableId="403532135">
    <w:abstractNumId w:val="39"/>
  </w:num>
  <w:num w:numId="42" w16cid:durableId="669217174">
    <w:abstractNumId w:val="36"/>
  </w:num>
  <w:num w:numId="43" w16cid:durableId="630554518">
    <w:abstractNumId w:val="6"/>
  </w:num>
  <w:num w:numId="44" w16cid:durableId="1379628426">
    <w:abstractNumId w:val="37"/>
  </w:num>
  <w:num w:numId="45" w16cid:durableId="645168173">
    <w:abstractNumId w:val="35"/>
  </w:num>
  <w:num w:numId="46" w16cid:durableId="397674111">
    <w:abstractNumId w:val="38"/>
  </w:num>
  <w:num w:numId="47" w16cid:durableId="869731770">
    <w:abstractNumId w:val="28"/>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3C7C"/>
    <w:rsid w:val="00021883"/>
    <w:rsid w:val="00026833"/>
    <w:rsid w:val="000553B0"/>
    <w:rsid w:val="000614BF"/>
    <w:rsid w:val="00067DCB"/>
    <w:rsid w:val="000B0355"/>
    <w:rsid w:val="000B5368"/>
    <w:rsid w:val="000C0428"/>
    <w:rsid w:val="000C3D64"/>
    <w:rsid w:val="001176D7"/>
    <w:rsid w:val="00146AC6"/>
    <w:rsid w:val="00167B9B"/>
    <w:rsid w:val="00184BCD"/>
    <w:rsid w:val="001A1A18"/>
    <w:rsid w:val="001B0DEA"/>
    <w:rsid w:val="001B1355"/>
    <w:rsid w:val="001E19A3"/>
    <w:rsid w:val="001E280E"/>
    <w:rsid w:val="00214A8F"/>
    <w:rsid w:val="00235D94"/>
    <w:rsid w:val="0024223A"/>
    <w:rsid w:val="002665E1"/>
    <w:rsid w:val="00272D4D"/>
    <w:rsid w:val="00292748"/>
    <w:rsid w:val="002C1551"/>
    <w:rsid w:val="002E4249"/>
    <w:rsid w:val="002F37F6"/>
    <w:rsid w:val="003007B0"/>
    <w:rsid w:val="0032021A"/>
    <w:rsid w:val="00321506"/>
    <w:rsid w:val="0035714E"/>
    <w:rsid w:val="00376733"/>
    <w:rsid w:val="00386BF6"/>
    <w:rsid w:val="003950BD"/>
    <w:rsid w:val="003A51B4"/>
    <w:rsid w:val="003A6EE3"/>
    <w:rsid w:val="003B1EFA"/>
    <w:rsid w:val="003F7A01"/>
    <w:rsid w:val="004B2208"/>
    <w:rsid w:val="004C119F"/>
    <w:rsid w:val="004C2220"/>
    <w:rsid w:val="004C27EC"/>
    <w:rsid w:val="004E77C0"/>
    <w:rsid w:val="00506A2B"/>
    <w:rsid w:val="0051050E"/>
    <w:rsid w:val="0053038B"/>
    <w:rsid w:val="005311F8"/>
    <w:rsid w:val="00573E2E"/>
    <w:rsid w:val="005A7690"/>
    <w:rsid w:val="005B071B"/>
    <w:rsid w:val="005C34AE"/>
    <w:rsid w:val="00626500"/>
    <w:rsid w:val="00646ECB"/>
    <w:rsid w:val="0066273E"/>
    <w:rsid w:val="00672014"/>
    <w:rsid w:val="00676C18"/>
    <w:rsid w:val="0068480B"/>
    <w:rsid w:val="00713119"/>
    <w:rsid w:val="0071488B"/>
    <w:rsid w:val="007347D2"/>
    <w:rsid w:val="0075363B"/>
    <w:rsid w:val="00783D14"/>
    <w:rsid w:val="007A31EE"/>
    <w:rsid w:val="007C138C"/>
    <w:rsid w:val="007C57FC"/>
    <w:rsid w:val="007C69D4"/>
    <w:rsid w:val="008251FE"/>
    <w:rsid w:val="008258AF"/>
    <w:rsid w:val="008607C5"/>
    <w:rsid w:val="00917816"/>
    <w:rsid w:val="00987132"/>
    <w:rsid w:val="009A6FE0"/>
    <w:rsid w:val="009B0293"/>
    <w:rsid w:val="009B7884"/>
    <w:rsid w:val="009C496C"/>
    <w:rsid w:val="009C6C1E"/>
    <w:rsid w:val="009D30B9"/>
    <w:rsid w:val="009F5281"/>
    <w:rsid w:val="00A06791"/>
    <w:rsid w:val="00A06C85"/>
    <w:rsid w:val="00A13257"/>
    <w:rsid w:val="00A42F02"/>
    <w:rsid w:val="00A673E1"/>
    <w:rsid w:val="00AA0089"/>
    <w:rsid w:val="00AA078A"/>
    <w:rsid w:val="00AC3E16"/>
    <w:rsid w:val="00AD3FCF"/>
    <w:rsid w:val="00AF259A"/>
    <w:rsid w:val="00B17C40"/>
    <w:rsid w:val="00B35C16"/>
    <w:rsid w:val="00B41F3F"/>
    <w:rsid w:val="00B611DB"/>
    <w:rsid w:val="00B665E7"/>
    <w:rsid w:val="00B83D5B"/>
    <w:rsid w:val="00B8432D"/>
    <w:rsid w:val="00B87769"/>
    <w:rsid w:val="00BD000A"/>
    <w:rsid w:val="00BD033D"/>
    <w:rsid w:val="00BF0988"/>
    <w:rsid w:val="00C00EE9"/>
    <w:rsid w:val="00C16847"/>
    <w:rsid w:val="00C30D21"/>
    <w:rsid w:val="00CC0219"/>
    <w:rsid w:val="00CD16AA"/>
    <w:rsid w:val="00D13C7C"/>
    <w:rsid w:val="00D1768D"/>
    <w:rsid w:val="00D45718"/>
    <w:rsid w:val="00D75BDC"/>
    <w:rsid w:val="00D87E6A"/>
    <w:rsid w:val="00DB4E5A"/>
    <w:rsid w:val="00DB7961"/>
    <w:rsid w:val="00E20924"/>
    <w:rsid w:val="00E23E13"/>
    <w:rsid w:val="00E50DC5"/>
    <w:rsid w:val="00E54829"/>
    <w:rsid w:val="00EA5BBB"/>
    <w:rsid w:val="00EC1FFE"/>
    <w:rsid w:val="00ED7269"/>
    <w:rsid w:val="00F06C4F"/>
    <w:rsid w:val="00F0727A"/>
    <w:rsid w:val="00F24B82"/>
    <w:rsid w:val="00F279DB"/>
    <w:rsid w:val="00F5770E"/>
    <w:rsid w:val="00F95037"/>
    <w:rsid w:val="00FF1CA4"/>
    <w:rsid w:val="00FF1E00"/>
    <w:rsid w:val="00FF373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8B469A"/>
  <w15:chartTrackingRefBased/>
  <w15:docId w15:val="{418A29F4-AE80-4D17-A5CA-491A20469E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146AC6"/>
    <w:pPr>
      <w:spacing w:line="240" w:lineRule="auto"/>
    </w:pPr>
    <w:rPr>
      <w:rFonts w:ascii="Times New Roman" w:hAnsi="Times New Roman"/>
    </w:rPr>
  </w:style>
  <w:style w:type="paragraph" w:styleId="berschrift1">
    <w:name w:val="heading 1"/>
    <w:basedOn w:val="Standard"/>
    <w:next w:val="Standard"/>
    <w:link w:val="berschrift1Zchn"/>
    <w:autoRedefine/>
    <w:uiPriority w:val="9"/>
    <w:qFormat/>
    <w:rsid w:val="002E4249"/>
    <w:pPr>
      <w:numPr>
        <w:numId w:val="4"/>
      </w:numPr>
      <w:spacing w:before="240"/>
      <w:ind w:left="431" w:hanging="431"/>
      <w:outlineLvl w:val="0"/>
    </w:pPr>
    <w:rPr>
      <w:sz w:val="40"/>
    </w:rPr>
  </w:style>
  <w:style w:type="paragraph" w:styleId="berschrift2">
    <w:name w:val="heading 2"/>
    <w:basedOn w:val="Standard"/>
    <w:next w:val="Standard"/>
    <w:link w:val="berschrift2Zchn"/>
    <w:uiPriority w:val="9"/>
    <w:unhideWhenUsed/>
    <w:qFormat/>
    <w:rsid w:val="00BF0988"/>
    <w:pPr>
      <w:numPr>
        <w:ilvl w:val="1"/>
        <w:numId w:val="4"/>
      </w:numPr>
      <w:outlineLvl w:val="1"/>
    </w:pPr>
    <w:rPr>
      <w:b/>
      <w:sz w:val="32"/>
    </w:rPr>
  </w:style>
  <w:style w:type="paragraph" w:styleId="berschrift3">
    <w:name w:val="heading 3"/>
    <w:basedOn w:val="Standard"/>
    <w:next w:val="Standard"/>
    <w:link w:val="berschrift3Zchn"/>
    <w:uiPriority w:val="9"/>
    <w:unhideWhenUsed/>
    <w:qFormat/>
    <w:rsid w:val="00646ECB"/>
    <w:pPr>
      <w:keepNext/>
      <w:keepLines/>
      <w:tabs>
        <w:tab w:val="left" w:pos="284"/>
      </w:tabs>
      <w:spacing w:before="40" w:after="120"/>
      <w:outlineLvl w:val="2"/>
    </w:pPr>
    <w:rPr>
      <w:rFonts w:eastAsiaTheme="majorEastAsia" w:cstheme="majorBidi"/>
      <w:b/>
      <w:sz w:val="24"/>
      <w:szCs w:val="24"/>
    </w:rPr>
  </w:style>
  <w:style w:type="paragraph" w:styleId="berschrift4">
    <w:name w:val="heading 4"/>
    <w:basedOn w:val="Standard"/>
    <w:next w:val="Standard"/>
    <w:link w:val="berschrift4Zchn"/>
    <w:uiPriority w:val="9"/>
    <w:unhideWhenUsed/>
    <w:qFormat/>
    <w:rsid w:val="00E23E13"/>
    <w:pPr>
      <w:keepNext/>
      <w:keepLines/>
      <w:spacing w:before="40" w:after="0"/>
      <w:outlineLvl w:val="3"/>
    </w:pPr>
    <w:rPr>
      <w:rFonts w:eastAsiaTheme="majorEastAsia" w:cstheme="majorBidi"/>
      <w:b/>
      <w:iCs/>
    </w:rPr>
  </w:style>
  <w:style w:type="paragraph" w:styleId="berschrift5">
    <w:name w:val="heading 5"/>
    <w:basedOn w:val="Standard"/>
    <w:next w:val="Standard"/>
    <w:link w:val="berschrift5Zchn"/>
    <w:uiPriority w:val="9"/>
    <w:semiHidden/>
    <w:unhideWhenUsed/>
    <w:qFormat/>
    <w:rsid w:val="009C6C1E"/>
    <w:pPr>
      <w:keepNext/>
      <w:keepLines/>
      <w:numPr>
        <w:ilvl w:val="4"/>
        <w:numId w:val="4"/>
      </w:numPr>
      <w:spacing w:before="40" w:after="0"/>
      <w:outlineLvl w:val="4"/>
    </w:pPr>
    <w:rPr>
      <w:rFonts w:asciiTheme="majorHAnsi" w:eastAsiaTheme="majorEastAsia" w:hAnsiTheme="majorHAnsi" w:cstheme="majorBidi"/>
      <w:color w:val="7EA8CA" w:themeColor="accent1" w:themeShade="BF"/>
    </w:rPr>
  </w:style>
  <w:style w:type="paragraph" w:styleId="berschrift6">
    <w:name w:val="heading 6"/>
    <w:basedOn w:val="Standard"/>
    <w:next w:val="Standard"/>
    <w:link w:val="berschrift6Zchn"/>
    <w:uiPriority w:val="9"/>
    <w:semiHidden/>
    <w:unhideWhenUsed/>
    <w:qFormat/>
    <w:rsid w:val="009C6C1E"/>
    <w:pPr>
      <w:keepNext/>
      <w:keepLines/>
      <w:numPr>
        <w:ilvl w:val="5"/>
        <w:numId w:val="4"/>
      </w:numPr>
      <w:spacing w:before="40" w:after="0"/>
      <w:outlineLvl w:val="5"/>
    </w:pPr>
    <w:rPr>
      <w:rFonts w:asciiTheme="majorHAnsi" w:eastAsiaTheme="majorEastAsia" w:hAnsiTheme="majorHAnsi" w:cstheme="majorBidi"/>
      <w:color w:val="3F729A" w:themeColor="accent1" w:themeShade="7F"/>
    </w:rPr>
  </w:style>
  <w:style w:type="paragraph" w:styleId="berschrift7">
    <w:name w:val="heading 7"/>
    <w:basedOn w:val="Standard"/>
    <w:next w:val="Standard"/>
    <w:link w:val="berschrift7Zchn"/>
    <w:uiPriority w:val="9"/>
    <w:semiHidden/>
    <w:unhideWhenUsed/>
    <w:qFormat/>
    <w:rsid w:val="009C6C1E"/>
    <w:pPr>
      <w:keepNext/>
      <w:keepLines/>
      <w:numPr>
        <w:ilvl w:val="6"/>
        <w:numId w:val="4"/>
      </w:numPr>
      <w:spacing w:before="40" w:after="0"/>
      <w:outlineLvl w:val="6"/>
    </w:pPr>
    <w:rPr>
      <w:rFonts w:asciiTheme="majorHAnsi" w:eastAsiaTheme="majorEastAsia" w:hAnsiTheme="majorHAnsi" w:cstheme="majorBidi"/>
      <w:i/>
      <w:iCs/>
      <w:color w:val="3F729A" w:themeColor="accent1" w:themeShade="7F"/>
    </w:rPr>
  </w:style>
  <w:style w:type="paragraph" w:styleId="berschrift8">
    <w:name w:val="heading 8"/>
    <w:basedOn w:val="Standard"/>
    <w:next w:val="Standard"/>
    <w:link w:val="berschrift8Zchn"/>
    <w:uiPriority w:val="9"/>
    <w:semiHidden/>
    <w:unhideWhenUsed/>
    <w:qFormat/>
    <w:rsid w:val="009C6C1E"/>
    <w:pPr>
      <w:keepNext/>
      <w:keepLines/>
      <w:numPr>
        <w:ilvl w:val="7"/>
        <w:numId w:val="4"/>
      </w:numPr>
      <w:spacing w:before="40" w:after="0"/>
      <w:outlineLvl w:val="7"/>
    </w:pPr>
    <w:rPr>
      <w:rFonts w:asciiTheme="majorHAnsi" w:eastAsiaTheme="majorEastAsia" w:hAnsiTheme="majorHAnsi" w:cstheme="majorBidi"/>
      <w:color w:val="0072CD" w:themeColor="text1" w:themeTint="D8"/>
      <w:sz w:val="21"/>
      <w:szCs w:val="21"/>
    </w:rPr>
  </w:style>
  <w:style w:type="paragraph" w:styleId="berschrift9">
    <w:name w:val="heading 9"/>
    <w:basedOn w:val="Standard"/>
    <w:next w:val="Standard"/>
    <w:link w:val="berschrift9Zchn"/>
    <w:uiPriority w:val="9"/>
    <w:semiHidden/>
    <w:unhideWhenUsed/>
    <w:qFormat/>
    <w:rsid w:val="009C6C1E"/>
    <w:pPr>
      <w:keepNext/>
      <w:keepLines/>
      <w:numPr>
        <w:ilvl w:val="8"/>
        <w:numId w:val="4"/>
      </w:numPr>
      <w:spacing w:before="40" w:after="0"/>
      <w:outlineLvl w:val="8"/>
    </w:pPr>
    <w:rPr>
      <w:rFonts w:asciiTheme="majorHAnsi" w:eastAsiaTheme="majorEastAsia" w:hAnsiTheme="majorHAnsi" w:cstheme="majorBidi"/>
      <w:i/>
      <w:iCs/>
      <w:color w:val="0072CD" w:themeColor="text1" w:themeTint="D8"/>
      <w:sz w:val="21"/>
      <w:szCs w:val="2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itel">
    <w:name w:val="Title"/>
    <w:basedOn w:val="Standard"/>
    <w:link w:val="TitelZchn"/>
    <w:qFormat/>
    <w:rsid w:val="00BF0988"/>
    <w:pPr>
      <w:spacing w:before="3000" w:after="240"/>
    </w:pPr>
    <w:rPr>
      <w:rFonts w:eastAsia="Times New Roman" w:cs="Arial"/>
      <w:b/>
      <w:bCs/>
      <w:kern w:val="28"/>
      <w:sz w:val="60"/>
      <w:szCs w:val="32"/>
    </w:rPr>
  </w:style>
  <w:style w:type="character" w:customStyle="1" w:styleId="TitelZchn">
    <w:name w:val="Titel Zchn"/>
    <w:basedOn w:val="Absatz-Standardschriftart"/>
    <w:link w:val="Titel"/>
    <w:rsid w:val="00BF0988"/>
    <w:rPr>
      <w:rFonts w:ascii="BundesSerif Office" w:eastAsia="Times New Roman" w:hAnsi="BundesSerif Office" w:cs="Arial"/>
      <w:b/>
      <w:bCs/>
      <w:kern w:val="28"/>
      <w:sz w:val="60"/>
      <w:szCs w:val="32"/>
    </w:rPr>
  </w:style>
  <w:style w:type="character" w:customStyle="1" w:styleId="berschrift1Zchn">
    <w:name w:val="Überschrift 1 Zchn"/>
    <w:basedOn w:val="Absatz-Standardschriftart"/>
    <w:link w:val="berschrift1"/>
    <w:uiPriority w:val="9"/>
    <w:rsid w:val="002E4249"/>
    <w:rPr>
      <w:rFonts w:ascii="Times New Roman" w:hAnsi="Times New Roman"/>
      <w:sz w:val="40"/>
    </w:rPr>
  </w:style>
  <w:style w:type="character" w:customStyle="1" w:styleId="berschrift2Zchn">
    <w:name w:val="Überschrift 2 Zchn"/>
    <w:basedOn w:val="Absatz-Standardschriftart"/>
    <w:link w:val="berschrift2"/>
    <w:uiPriority w:val="9"/>
    <w:rsid w:val="00BF0988"/>
    <w:rPr>
      <w:rFonts w:ascii="BundesSerif Office" w:hAnsi="BundesSerif Office"/>
      <w:b/>
      <w:sz w:val="32"/>
    </w:rPr>
  </w:style>
  <w:style w:type="character" w:customStyle="1" w:styleId="berschrift3Zchn">
    <w:name w:val="Überschrift 3 Zchn"/>
    <w:basedOn w:val="Absatz-Standardschriftart"/>
    <w:link w:val="berschrift3"/>
    <w:uiPriority w:val="9"/>
    <w:rsid w:val="00646ECB"/>
    <w:rPr>
      <w:rFonts w:ascii="BundesSerif Office" w:eastAsiaTheme="majorEastAsia" w:hAnsi="BundesSerif Office" w:cstheme="majorBidi"/>
      <w:b/>
      <w:sz w:val="24"/>
      <w:szCs w:val="24"/>
    </w:rPr>
  </w:style>
  <w:style w:type="paragraph" w:customStyle="1" w:styleId="western">
    <w:name w:val="western"/>
    <w:basedOn w:val="Standard"/>
    <w:rsid w:val="00C00EE9"/>
    <w:pPr>
      <w:spacing w:before="100" w:beforeAutospacing="1" w:after="119" w:line="284" w:lineRule="atLeast"/>
    </w:pPr>
    <w:rPr>
      <w:rFonts w:eastAsia="Times New Roman" w:cs="Times New Roman"/>
      <w:lang w:eastAsia="de-DE"/>
    </w:rPr>
  </w:style>
  <w:style w:type="paragraph" w:styleId="Kopfzeile">
    <w:name w:val="header"/>
    <w:basedOn w:val="Standard"/>
    <w:link w:val="KopfzeileZchn"/>
    <w:uiPriority w:val="99"/>
    <w:unhideWhenUsed/>
    <w:rsid w:val="009F5281"/>
    <w:pPr>
      <w:tabs>
        <w:tab w:val="center" w:pos="4536"/>
        <w:tab w:val="right" w:pos="9072"/>
      </w:tabs>
      <w:spacing w:after="0"/>
    </w:pPr>
  </w:style>
  <w:style w:type="character" w:customStyle="1" w:styleId="KopfzeileZchn">
    <w:name w:val="Kopfzeile Zchn"/>
    <w:basedOn w:val="Absatz-Standardschriftart"/>
    <w:link w:val="Kopfzeile"/>
    <w:uiPriority w:val="99"/>
    <w:rsid w:val="009F5281"/>
  </w:style>
  <w:style w:type="paragraph" w:styleId="Fuzeile">
    <w:name w:val="footer"/>
    <w:basedOn w:val="Standard"/>
    <w:link w:val="FuzeileZchn"/>
    <w:uiPriority w:val="99"/>
    <w:unhideWhenUsed/>
    <w:rsid w:val="009F5281"/>
    <w:pPr>
      <w:tabs>
        <w:tab w:val="center" w:pos="4536"/>
        <w:tab w:val="right" w:pos="9072"/>
      </w:tabs>
      <w:spacing w:after="0"/>
    </w:pPr>
  </w:style>
  <w:style w:type="character" w:customStyle="1" w:styleId="FuzeileZchn">
    <w:name w:val="Fußzeile Zchn"/>
    <w:basedOn w:val="Absatz-Standardschriftart"/>
    <w:link w:val="Fuzeile"/>
    <w:uiPriority w:val="99"/>
    <w:rsid w:val="009F5281"/>
  </w:style>
  <w:style w:type="character" w:customStyle="1" w:styleId="berschrift4Zchn">
    <w:name w:val="Überschrift 4 Zchn"/>
    <w:basedOn w:val="Absatz-Standardschriftart"/>
    <w:link w:val="berschrift4"/>
    <w:uiPriority w:val="9"/>
    <w:rsid w:val="00E23E13"/>
    <w:rPr>
      <w:rFonts w:ascii="BundesSerif Office" w:eastAsiaTheme="majorEastAsia" w:hAnsi="BundesSerif Office" w:cstheme="majorBidi"/>
      <w:b/>
      <w:iCs/>
    </w:rPr>
  </w:style>
  <w:style w:type="character" w:customStyle="1" w:styleId="berschrift5Zchn">
    <w:name w:val="Überschrift 5 Zchn"/>
    <w:basedOn w:val="Absatz-Standardschriftart"/>
    <w:link w:val="berschrift5"/>
    <w:uiPriority w:val="9"/>
    <w:semiHidden/>
    <w:rsid w:val="009C6C1E"/>
    <w:rPr>
      <w:rFonts w:asciiTheme="majorHAnsi" w:eastAsiaTheme="majorEastAsia" w:hAnsiTheme="majorHAnsi" w:cstheme="majorBidi"/>
      <w:color w:val="7EA8CA" w:themeColor="accent1" w:themeShade="BF"/>
    </w:rPr>
  </w:style>
  <w:style w:type="character" w:customStyle="1" w:styleId="berschrift6Zchn">
    <w:name w:val="Überschrift 6 Zchn"/>
    <w:basedOn w:val="Absatz-Standardschriftart"/>
    <w:link w:val="berschrift6"/>
    <w:uiPriority w:val="9"/>
    <w:semiHidden/>
    <w:rsid w:val="009C6C1E"/>
    <w:rPr>
      <w:rFonts w:asciiTheme="majorHAnsi" w:eastAsiaTheme="majorEastAsia" w:hAnsiTheme="majorHAnsi" w:cstheme="majorBidi"/>
      <w:color w:val="3F729A" w:themeColor="accent1" w:themeShade="7F"/>
    </w:rPr>
  </w:style>
  <w:style w:type="character" w:customStyle="1" w:styleId="berschrift7Zchn">
    <w:name w:val="Überschrift 7 Zchn"/>
    <w:basedOn w:val="Absatz-Standardschriftart"/>
    <w:link w:val="berschrift7"/>
    <w:uiPriority w:val="9"/>
    <w:semiHidden/>
    <w:rsid w:val="009C6C1E"/>
    <w:rPr>
      <w:rFonts w:asciiTheme="majorHAnsi" w:eastAsiaTheme="majorEastAsia" w:hAnsiTheme="majorHAnsi" w:cstheme="majorBidi"/>
      <w:i/>
      <w:iCs/>
      <w:color w:val="3F729A" w:themeColor="accent1" w:themeShade="7F"/>
    </w:rPr>
  </w:style>
  <w:style w:type="character" w:customStyle="1" w:styleId="berschrift8Zchn">
    <w:name w:val="Überschrift 8 Zchn"/>
    <w:basedOn w:val="Absatz-Standardschriftart"/>
    <w:link w:val="berschrift8"/>
    <w:uiPriority w:val="9"/>
    <w:semiHidden/>
    <w:rsid w:val="009C6C1E"/>
    <w:rPr>
      <w:rFonts w:asciiTheme="majorHAnsi" w:eastAsiaTheme="majorEastAsia" w:hAnsiTheme="majorHAnsi" w:cstheme="majorBidi"/>
      <w:color w:val="0072CD" w:themeColor="text1" w:themeTint="D8"/>
      <w:sz w:val="21"/>
      <w:szCs w:val="21"/>
    </w:rPr>
  </w:style>
  <w:style w:type="character" w:customStyle="1" w:styleId="berschrift9Zchn">
    <w:name w:val="Überschrift 9 Zchn"/>
    <w:basedOn w:val="Absatz-Standardschriftart"/>
    <w:link w:val="berschrift9"/>
    <w:uiPriority w:val="9"/>
    <w:semiHidden/>
    <w:rsid w:val="009C6C1E"/>
    <w:rPr>
      <w:rFonts w:asciiTheme="majorHAnsi" w:eastAsiaTheme="majorEastAsia" w:hAnsiTheme="majorHAnsi" w:cstheme="majorBidi"/>
      <w:i/>
      <w:iCs/>
      <w:color w:val="0072CD" w:themeColor="text1" w:themeTint="D8"/>
      <w:sz w:val="21"/>
      <w:szCs w:val="21"/>
    </w:rPr>
  </w:style>
  <w:style w:type="paragraph" w:customStyle="1" w:styleId="Formatvorlage1">
    <w:name w:val="Formatvorlage1"/>
    <w:basedOn w:val="Standard"/>
    <w:next w:val="Standard"/>
    <w:link w:val="Formatvorlage1Zchn"/>
    <w:qFormat/>
    <w:rsid w:val="007347D2"/>
    <w:pPr>
      <w:tabs>
        <w:tab w:val="left" w:pos="709"/>
      </w:tabs>
    </w:pPr>
    <w:rPr>
      <w:b/>
    </w:rPr>
  </w:style>
  <w:style w:type="paragraph" w:styleId="StandardWeb">
    <w:name w:val="Normal (Web)"/>
    <w:basedOn w:val="Standard"/>
    <w:uiPriority w:val="99"/>
    <w:unhideWhenUsed/>
    <w:rsid w:val="009A6FE0"/>
    <w:pPr>
      <w:spacing w:before="100" w:beforeAutospacing="1" w:after="119" w:line="284" w:lineRule="atLeast"/>
    </w:pPr>
    <w:rPr>
      <w:rFonts w:eastAsia="Times New Roman" w:cs="Times New Roman"/>
      <w:sz w:val="24"/>
      <w:szCs w:val="24"/>
      <w:lang w:eastAsia="de-DE"/>
    </w:rPr>
  </w:style>
  <w:style w:type="character" w:customStyle="1" w:styleId="Formatvorlage1Zchn">
    <w:name w:val="Formatvorlage1 Zchn"/>
    <w:basedOn w:val="berschrift3Zchn"/>
    <w:link w:val="Formatvorlage1"/>
    <w:rsid w:val="007347D2"/>
    <w:rPr>
      <w:rFonts w:ascii="BundesSerif Office" w:eastAsiaTheme="majorEastAsia" w:hAnsi="BundesSerif Office" w:cstheme="majorBidi"/>
      <w:b/>
      <w:sz w:val="24"/>
      <w:szCs w:val="24"/>
    </w:rPr>
  </w:style>
  <w:style w:type="character" w:styleId="Fett">
    <w:name w:val="Strong"/>
    <w:basedOn w:val="Absatz-Standardschriftart"/>
    <w:uiPriority w:val="22"/>
    <w:qFormat/>
    <w:rsid w:val="00B17C40"/>
    <w:rPr>
      <w:b/>
      <w:bCs/>
    </w:rPr>
  </w:style>
  <w:style w:type="character" w:styleId="Hervorhebung">
    <w:name w:val="Emphasis"/>
    <w:basedOn w:val="Absatz-Standardschriftart"/>
    <w:uiPriority w:val="20"/>
    <w:qFormat/>
    <w:rsid w:val="00B17C40"/>
    <w:rPr>
      <w:i/>
      <w:iCs/>
    </w:rPr>
  </w:style>
  <w:style w:type="paragraph" w:styleId="Listenabsatz">
    <w:name w:val="List Paragraph"/>
    <w:basedOn w:val="Standard"/>
    <w:autoRedefine/>
    <w:uiPriority w:val="34"/>
    <w:qFormat/>
    <w:rsid w:val="00B611DB"/>
    <w:pPr>
      <w:numPr>
        <w:numId w:val="39"/>
      </w:numPr>
      <w:spacing w:before="120" w:after="120"/>
      <w:ind w:left="357" w:hanging="357"/>
    </w:pPr>
    <w:rPr>
      <w:bCs/>
      <w:color w:val="0033CC"/>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07744208">
      <w:bodyDiv w:val="1"/>
      <w:marLeft w:val="0"/>
      <w:marRight w:val="0"/>
      <w:marTop w:val="0"/>
      <w:marBottom w:val="0"/>
      <w:divBdr>
        <w:top w:val="none" w:sz="0" w:space="0" w:color="auto"/>
        <w:left w:val="none" w:sz="0" w:space="0" w:color="auto"/>
        <w:bottom w:val="none" w:sz="0" w:space="0" w:color="auto"/>
        <w:right w:val="none" w:sz="0" w:space="0" w:color="auto"/>
      </w:divBdr>
    </w:div>
    <w:div w:id="218826871">
      <w:bodyDiv w:val="1"/>
      <w:marLeft w:val="0"/>
      <w:marRight w:val="0"/>
      <w:marTop w:val="0"/>
      <w:marBottom w:val="0"/>
      <w:divBdr>
        <w:top w:val="none" w:sz="0" w:space="0" w:color="auto"/>
        <w:left w:val="none" w:sz="0" w:space="0" w:color="auto"/>
        <w:bottom w:val="none" w:sz="0" w:space="0" w:color="auto"/>
        <w:right w:val="none" w:sz="0" w:space="0" w:color="auto"/>
      </w:divBdr>
    </w:div>
    <w:div w:id="219905849">
      <w:bodyDiv w:val="1"/>
      <w:marLeft w:val="0"/>
      <w:marRight w:val="0"/>
      <w:marTop w:val="0"/>
      <w:marBottom w:val="0"/>
      <w:divBdr>
        <w:top w:val="none" w:sz="0" w:space="0" w:color="auto"/>
        <w:left w:val="none" w:sz="0" w:space="0" w:color="auto"/>
        <w:bottom w:val="none" w:sz="0" w:space="0" w:color="auto"/>
        <w:right w:val="none" w:sz="0" w:space="0" w:color="auto"/>
      </w:divBdr>
    </w:div>
    <w:div w:id="224027166">
      <w:bodyDiv w:val="1"/>
      <w:marLeft w:val="0"/>
      <w:marRight w:val="0"/>
      <w:marTop w:val="0"/>
      <w:marBottom w:val="0"/>
      <w:divBdr>
        <w:top w:val="none" w:sz="0" w:space="0" w:color="auto"/>
        <w:left w:val="none" w:sz="0" w:space="0" w:color="auto"/>
        <w:bottom w:val="none" w:sz="0" w:space="0" w:color="auto"/>
        <w:right w:val="none" w:sz="0" w:space="0" w:color="auto"/>
      </w:divBdr>
    </w:div>
    <w:div w:id="232592060">
      <w:bodyDiv w:val="1"/>
      <w:marLeft w:val="0"/>
      <w:marRight w:val="0"/>
      <w:marTop w:val="0"/>
      <w:marBottom w:val="0"/>
      <w:divBdr>
        <w:top w:val="none" w:sz="0" w:space="0" w:color="auto"/>
        <w:left w:val="none" w:sz="0" w:space="0" w:color="auto"/>
        <w:bottom w:val="none" w:sz="0" w:space="0" w:color="auto"/>
        <w:right w:val="none" w:sz="0" w:space="0" w:color="auto"/>
      </w:divBdr>
    </w:div>
    <w:div w:id="385565023">
      <w:bodyDiv w:val="1"/>
      <w:marLeft w:val="0"/>
      <w:marRight w:val="0"/>
      <w:marTop w:val="0"/>
      <w:marBottom w:val="0"/>
      <w:divBdr>
        <w:top w:val="none" w:sz="0" w:space="0" w:color="auto"/>
        <w:left w:val="none" w:sz="0" w:space="0" w:color="auto"/>
        <w:bottom w:val="none" w:sz="0" w:space="0" w:color="auto"/>
        <w:right w:val="none" w:sz="0" w:space="0" w:color="auto"/>
      </w:divBdr>
    </w:div>
    <w:div w:id="413090268">
      <w:bodyDiv w:val="1"/>
      <w:marLeft w:val="0"/>
      <w:marRight w:val="0"/>
      <w:marTop w:val="0"/>
      <w:marBottom w:val="0"/>
      <w:divBdr>
        <w:top w:val="none" w:sz="0" w:space="0" w:color="auto"/>
        <w:left w:val="none" w:sz="0" w:space="0" w:color="auto"/>
        <w:bottom w:val="none" w:sz="0" w:space="0" w:color="auto"/>
        <w:right w:val="none" w:sz="0" w:space="0" w:color="auto"/>
      </w:divBdr>
    </w:div>
    <w:div w:id="477964864">
      <w:bodyDiv w:val="1"/>
      <w:marLeft w:val="0"/>
      <w:marRight w:val="0"/>
      <w:marTop w:val="0"/>
      <w:marBottom w:val="0"/>
      <w:divBdr>
        <w:top w:val="none" w:sz="0" w:space="0" w:color="auto"/>
        <w:left w:val="none" w:sz="0" w:space="0" w:color="auto"/>
        <w:bottom w:val="none" w:sz="0" w:space="0" w:color="auto"/>
        <w:right w:val="none" w:sz="0" w:space="0" w:color="auto"/>
      </w:divBdr>
    </w:div>
    <w:div w:id="490291002">
      <w:bodyDiv w:val="1"/>
      <w:marLeft w:val="0"/>
      <w:marRight w:val="0"/>
      <w:marTop w:val="0"/>
      <w:marBottom w:val="0"/>
      <w:divBdr>
        <w:top w:val="none" w:sz="0" w:space="0" w:color="auto"/>
        <w:left w:val="none" w:sz="0" w:space="0" w:color="auto"/>
        <w:bottom w:val="none" w:sz="0" w:space="0" w:color="auto"/>
        <w:right w:val="none" w:sz="0" w:space="0" w:color="auto"/>
      </w:divBdr>
    </w:div>
    <w:div w:id="660233172">
      <w:bodyDiv w:val="1"/>
      <w:marLeft w:val="0"/>
      <w:marRight w:val="0"/>
      <w:marTop w:val="0"/>
      <w:marBottom w:val="0"/>
      <w:divBdr>
        <w:top w:val="none" w:sz="0" w:space="0" w:color="auto"/>
        <w:left w:val="none" w:sz="0" w:space="0" w:color="auto"/>
        <w:bottom w:val="none" w:sz="0" w:space="0" w:color="auto"/>
        <w:right w:val="none" w:sz="0" w:space="0" w:color="auto"/>
      </w:divBdr>
    </w:div>
    <w:div w:id="937644266">
      <w:bodyDiv w:val="1"/>
      <w:marLeft w:val="0"/>
      <w:marRight w:val="0"/>
      <w:marTop w:val="0"/>
      <w:marBottom w:val="0"/>
      <w:divBdr>
        <w:top w:val="none" w:sz="0" w:space="0" w:color="auto"/>
        <w:left w:val="none" w:sz="0" w:space="0" w:color="auto"/>
        <w:bottom w:val="none" w:sz="0" w:space="0" w:color="auto"/>
        <w:right w:val="none" w:sz="0" w:space="0" w:color="auto"/>
      </w:divBdr>
    </w:div>
    <w:div w:id="1005673778">
      <w:bodyDiv w:val="1"/>
      <w:marLeft w:val="0"/>
      <w:marRight w:val="0"/>
      <w:marTop w:val="0"/>
      <w:marBottom w:val="0"/>
      <w:divBdr>
        <w:top w:val="none" w:sz="0" w:space="0" w:color="auto"/>
        <w:left w:val="none" w:sz="0" w:space="0" w:color="auto"/>
        <w:bottom w:val="none" w:sz="0" w:space="0" w:color="auto"/>
        <w:right w:val="none" w:sz="0" w:space="0" w:color="auto"/>
      </w:divBdr>
    </w:div>
    <w:div w:id="1016033102">
      <w:bodyDiv w:val="1"/>
      <w:marLeft w:val="0"/>
      <w:marRight w:val="0"/>
      <w:marTop w:val="0"/>
      <w:marBottom w:val="0"/>
      <w:divBdr>
        <w:top w:val="none" w:sz="0" w:space="0" w:color="auto"/>
        <w:left w:val="none" w:sz="0" w:space="0" w:color="auto"/>
        <w:bottom w:val="none" w:sz="0" w:space="0" w:color="auto"/>
        <w:right w:val="none" w:sz="0" w:space="0" w:color="auto"/>
      </w:divBdr>
    </w:div>
    <w:div w:id="1379550655">
      <w:bodyDiv w:val="1"/>
      <w:marLeft w:val="0"/>
      <w:marRight w:val="0"/>
      <w:marTop w:val="0"/>
      <w:marBottom w:val="0"/>
      <w:divBdr>
        <w:top w:val="none" w:sz="0" w:space="0" w:color="auto"/>
        <w:left w:val="none" w:sz="0" w:space="0" w:color="auto"/>
        <w:bottom w:val="none" w:sz="0" w:space="0" w:color="auto"/>
        <w:right w:val="none" w:sz="0" w:space="0" w:color="auto"/>
      </w:divBdr>
    </w:div>
    <w:div w:id="1442727032">
      <w:bodyDiv w:val="1"/>
      <w:marLeft w:val="0"/>
      <w:marRight w:val="0"/>
      <w:marTop w:val="0"/>
      <w:marBottom w:val="0"/>
      <w:divBdr>
        <w:top w:val="none" w:sz="0" w:space="0" w:color="auto"/>
        <w:left w:val="none" w:sz="0" w:space="0" w:color="auto"/>
        <w:bottom w:val="none" w:sz="0" w:space="0" w:color="auto"/>
        <w:right w:val="none" w:sz="0" w:space="0" w:color="auto"/>
      </w:divBdr>
    </w:div>
    <w:div w:id="1618372019">
      <w:bodyDiv w:val="1"/>
      <w:marLeft w:val="0"/>
      <w:marRight w:val="0"/>
      <w:marTop w:val="0"/>
      <w:marBottom w:val="0"/>
      <w:divBdr>
        <w:top w:val="none" w:sz="0" w:space="0" w:color="auto"/>
        <w:left w:val="none" w:sz="0" w:space="0" w:color="auto"/>
        <w:bottom w:val="none" w:sz="0" w:space="0" w:color="auto"/>
        <w:right w:val="none" w:sz="0" w:space="0" w:color="auto"/>
      </w:divBdr>
    </w:div>
    <w:div w:id="1697998200">
      <w:bodyDiv w:val="1"/>
      <w:marLeft w:val="0"/>
      <w:marRight w:val="0"/>
      <w:marTop w:val="0"/>
      <w:marBottom w:val="0"/>
      <w:divBdr>
        <w:top w:val="none" w:sz="0" w:space="0" w:color="auto"/>
        <w:left w:val="none" w:sz="0" w:space="0" w:color="auto"/>
        <w:bottom w:val="none" w:sz="0" w:space="0" w:color="auto"/>
        <w:right w:val="none" w:sz="0" w:space="0" w:color="auto"/>
      </w:divBdr>
    </w:div>
    <w:div w:id="1824811318">
      <w:bodyDiv w:val="1"/>
      <w:marLeft w:val="0"/>
      <w:marRight w:val="0"/>
      <w:marTop w:val="0"/>
      <w:marBottom w:val="0"/>
      <w:divBdr>
        <w:top w:val="none" w:sz="0" w:space="0" w:color="auto"/>
        <w:left w:val="none" w:sz="0" w:space="0" w:color="auto"/>
        <w:bottom w:val="none" w:sz="0" w:space="0" w:color="auto"/>
        <w:right w:val="none" w:sz="0" w:space="0" w:color="auto"/>
      </w:divBdr>
    </w:div>
    <w:div w:id="1895457756">
      <w:bodyDiv w:val="1"/>
      <w:marLeft w:val="0"/>
      <w:marRight w:val="0"/>
      <w:marTop w:val="0"/>
      <w:marBottom w:val="0"/>
      <w:divBdr>
        <w:top w:val="none" w:sz="0" w:space="0" w:color="auto"/>
        <w:left w:val="none" w:sz="0" w:space="0" w:color="auto"/>
        <w:bottom w:val="none" w:sz="0" w:space="0" w:color="auto"/>
        <w:right w:val="none" w:sz="0" w:space="0" w:color="auto"/>
      </w:divBdr>
    </w:div>
    <w:div w:id="1996833124">
      <w:bodyDiv w:val="1"/>
      <w:marLeft w:val="0"/>
      <w:marRight w:val="0"/>
      <w:marTop w:val="0"/>
      <w:marBottom w:val="0"/>
      <w:divBdr>
        <w:top w:val="none" w:sz="0" w:space="0" w:color="auto"/>
        <w:left w:val="none" w:sz="0" w:space="0" w:color="auto"/>
        <w:bottom w:val="none" w:sz="0" w:space="0" w:color="auto"/>
        <w:right w:val="none" w:sz="0" w:space="0" w:color="auto"/>
      </w:divBdr>
    </w:div>
    <w:div w:id="2009942931">
      <w:bodyDiv w:val="1"/>
      <w:marLeft w:val="0"/>
      <w:marRight w:val="0"/>
      <w:marTop w:val="0"/>
      <w:marBottom w:val="0"/>
      <w:divBdr>
        <w:top w:val="none" w:sz="0" w:space="0" w:color="auto"/>
        <w:left w:val="none" w:sz="0" w:space="0" w:color="auto"/>
        <w:bottom w:val="none" w:sz="0" w:space="0" w:color="auto"/>
        <w:right w:val="none" w:sz="0" w:space="0" w:color="auto"/>
      </w:divBdr>
    </w:div>
    <w:div w:id="2025083649">
      <w:bodyDiv w:val="1"/>
      <w:marLeft w:val="0"/>
      <w:marRight w:val="0"/>
      <w:marTop w:val="0"/>
      <w:marBottom w:val="0"/>
      <w:divBdr>
        <w:top w:val="none" w:sz="0" w:space="0" w:color="auto"/>
        <w:left w:val="none" w:sz="0" w:space="0" w:color="auto"/>
        <w:bottom w:val="none" w:sz="0" w:space="0" w:color="auto"/>
        <w:right w:val="none" w:sz="0" w:space="0" w:color="auto"/>
      </w:divBdr>
    </w:div>
    <w:div w:id="2029331940">
      <w:bodyDiv w:val="1"/>
      <w:marLeft w:val="0"/>
      <w:marRight w:val="0"/>
      <w:marTop w:val="0"/>
      <w:marBottom w:val="0"/>
      <w:divBdr>
        <w:top w:val="none" w:sz="0" w:space="0" w:color="auto"/>
        <w:left w:val="none" w:sz="0" w:space="0" w:color="auto"/>
        <w:bottom w:val="none" w:sz="0" w:space="0" w:color="auto"/>
        <w:right w:val="none" w:sz="0" w:space="0" w:color="auto"/>
      </w:divBdr>
    </w:div>
    <w:div w:id="2105489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esetze-im-internet.de/vwvfg/__35a.html" TargetMode="External"/><Relationship Id="rId18" Type="http://schemas.openxmlformats.org/officeDocument/2006/relationships/hyperlink" Target="https://www.bsi.bund.de/EN/Themen/Unternehmen-und-Organisationen/Informationen-und-Empfehlungen/Kuenstliche-Intelligenz/Deepfakes/deepfakes_node.html" TargetMode="External"/><Relationship Id="rId26" Type="http://schemas.openxmlformats.org/officeDocument/2006/relationships/hyperlink" Target="https://www.kgst.de/documents/20181/34177/KI-Guideline_kgst-vitako.PDF/bcf28a56-c78d-46b1-6e7e-9d53ba13c637?t=1726034027491" TargetMode="External"/><Relationship Id="rId3" Type="http://schemas.openxmlformats.org/officeDocument/2006/relationships/styles" Target="styles.xml"/><Relationship Id="rId21" Type="http://schemas.openxmlformats.org/officeDocument/2006/relationships/hyperlink" Target="https://www.datenschutzkonferenz-online.de/orientierungshilfen.html" TargetMode="External"/><Relationship Id="rId7" Type="http://schemas.openxmlformats.org/officeDocument/2006/relationships/endnotes" Target="endnotes.xml"/><Relationship Id="rId12" Type="http://schemas.openxmlformats.org/officeDocument/2006/relationships/hyperlink" Target="https://www.gesetze-im-internet.de/ki-mig/BJNR0DF0B0026.html" TargetMode="External"/><Relationship Id="rId17" Type="http://schemas.openxmlformats.org/officeDocument/2006/relationships/hyperlink" Target="https://www.bsi.bund.de/EN/Themen/Unternehmen-und-Organisationen/Informationen-und-Empfehlungen/Kuenstliche-Intelligenz/AIC4/aic4.html" TargetMode="External"/><Relationship Id="rId25" Type="http://schemas.openxmlformats.org/officeDocument/2006/relationships/hyperlink" Target="https://digitales.hessen.de/sites/digitales.hessen.de/files/2024-09/generative_ki_barrierefrei.pdf"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bsi.bund.de/SharedDocs/Downloads/DE/BSI/KI/Kriterienkatalog_KI-Modelle_Bundesverwaltung.pdf?__blob=publicationFile&amp;v=3" TargetMode="External"/><Relationship Id="rId20" Type="http://schemas.openxmlformats.org/officeDocument/2006/relationships/hyperlink" Target="https://www.bsi.bund.de/DE/Themen/Unternehmen-und-Organisationen/Standards-und-Zertifizierung/IT-Grundschutz/Hilfsmittel_und_Anwenderbeitraege/Hilfsmittel_von_Anwendern/Benutzerdefinierte-Bausteine/benutzerdefinierte-bausteine_node.html"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ur-lex.europa.eu/eli/reg/2016/679/oj/deu" TargetMode="External"/><Relationship Id="rId24" Type="http://schemas.openxmlformats.org/officeDocument/2006/relationships/hyperlink" Target="https://www.idee.bayern.de/digitalisierung/ki/"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bsi.bund.de/SharedDocs/Downloads/EN/BSI/KI/Generative_AI_Models.html" TargetMode="External"/><Relationship Id="rId23" Type="http://schemas.openxmlformats.org/officeDocument/2006/relationships/hyperlink" Target="https://genai.owasp.org/llm-top-10/" TargetMode="External"/><Relationship Id="rId28" Type="http://schemas.openxmlformats.org/officeDocument/2006/relationships/header" Target="header1.xml"/><Relationship Id="rId10" Type="http://schemas.openxmlformats.org/officeDocument/2006/relationships/hyperlink" Target="https://eur-lex.europa.eu/legal-content/DE/TXT/HTML/?uri=OJ%3AL_202601744" TargetMode="External"/><Relationship Id="rId19" Type="http://schemas.openxmlformats.org/officeDocument/2006/relationships/hyperlink" Target="https://www.bsi.bund.de/SharedDocs/Downloads/EN/BSI/KI/Evasion_Attacks_on_LLMs-Checklist.html"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eur-lex.europa.eu/eli/reg/2024/1689/oj" TargetMode="External"/><Relationship Id="rId14" Type="http://schemas.openxmlformats.org/officeDocument/2006/relationships/hyperlink" Target="https://www.bsi.bund.de/EN/Themen/Unternehmen-und-Organisationen/Informationen-und-Empfehlungen/Kuenstliche-Intelligenz/kuenstliche-intelligenz_node.html" TargetMode="External"/><Relationship Id="rId22" Type="http://schemas.openxmlformats.org/officeDocument/2006/relationships/hyperlink" Target="https://www.lda.bayern.de/media/ki_checkliste.pdf" TargetMode="External"/><Relationship Id="rId27" Type="http://schemas.openxmlformats.org/officeDocument/2006/relationships/hyperlink" Target="mailto:info@ask-informationssicherheit.de" TargetMode="External"/><Relationship Id="rId30" Type="http://schemas.openxmlformats.org/officeDocument/2006/relationships/header" Target="header2.xml"/><Relationship Id="rId8" Type="http://schemas.openxmlformats.org/officeDocument/2006/relationships/image" Target="media/image1.png"/></Relationships>
</file>

<file path=word/theme/theme1.xml><?xml version="1.0" encoding="utf-8"?>
<a:theme xmlns:a="http://schemas.openxmlformats.org/drawingml/2006/main" name="BSI">
  <a:themeElements>
    <a:clrScheme name="BSI Farbpalette">
      <a:dk1>
        <a:srgbClr val="005496"/>
      </a:dk1>
      <a:lt1>
        <a:srgbClr val="3377AC"/>
      </a:lt1>
      <a:dk2>
        <a:srgbClr val="6699C1"/>
      </a:dk2>
      <a:lt2>
        <a:srgbClr val="99BBD5"/>
      </a:lt2>
      <a:accent1>
        <a:srgbClr val="CCDDEA"/>
      </a:accent1>
      <a:accent2>
        <a:srgbClr val="A8D08D"/>
      </a:accent2>
      <a:accent3>
        <a:srgbClr val="A5A5A5"/>
      </a:accent3>
      <a:accent4>
        <a:srgbClr val="FFD965"/>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D78B7-2F0C-42DB-89BA-3AD8065ACD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8159</Words>
  <Characters>62832</Characters>
  <Application>Microsoft Office Word</Application>
  <DocSecurity>0</DocSecurity>
  <Lines>897</Lines>
  <Paragraphs>396</Paragraphs>
  <ScaleCrop>false</ScaleCrop>
  <HeadingPairs>
    <vt:vector size="2" baseType="variant">
      <vt:variant>
        <vt:lpstr>Titel</vt:lpstr>
      </vt:variant>
      <vt:variant>
        <vt:i4>1</vt:i4>
      </vt:variant>
    </vt:vector>
  </HeadingPairs>
  <TitlesOfParts>
    <vt:vector size="1" baseType="lpstr">
      <vt:lpstr>OPS.bd.1 Einsatz von Künstlicher Intelligenz</vt:lpstr>
    </vt:vector>
  </TitlesOfParts>
  <Manager/>
  <Company>a.s.k. Informationssicherheit</Company>
  <LinksUpToDate>false</LinksUpToDate>
  <CharactersWithSpaces>70595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OPS.bd.1 Einsatz von Künstlicher Intelligenz</dc:title>
  <dc:subject/>
  <dc:creator>Sascha Kuhrau</dc:creator>
  <cp:keywords>benutzerdefiniert, Bausteine</cp:keywords>
  <dc:description/>
  <cp:lastModifiedBy>Kuhrau, Sascha</cp:lastModifiedBy>
  <cp:revision>4</cp:revision>
  <dcterms:created xsi:type="dcterms:W3CDTF">2022-01-18T09:02:00Z</dcterms:created>
  <dcterms:modified xsi:type="dcterms:W3CDTF">2026-11-05T21:32:00Z</dcterms:modified>
  <cp:category/>
</cp:coreProperties>
</file>